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val="en-US" w:eastAsia="zh-CN"/>
        </w:rPr>
        <w:t>医疗保障局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医疗保障局</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spacing w:line="584" w:lineRule="exact"/>
        <w:ind w:firstLine="660"/>
        <w:rPr>
          <w:rFonts w:hint="eastAsia" w:ascii="仿宋" w:hAnsi="仿宋" w:eastAsia="仿宋" w:cs="Times New Roman"/>
          <w:color w:val="auto"/>
          <w:sz w:val="32"/>
          <w:szCs w:val="32"/>
        </w:rPr>
      </w:pPr>
      <w:r>
        <w:rPr>
          <w:rFonts w:hint="eastAsia" w:ascii="仿宋" w:hAnsi="仿宋" w:eastAsia="仿宋" w:cs="Times New Roman"/>
          <w:color w:val="auto"/>
          <w:sz w:val="32"/>
          <w:szCs w:val="32"/>
        </w:rPr>
        <w:t>根据《大厂回族自治县医疗保障局职能配置、内设机构和人员编制规定》， 大厂回族自治县医疗保障局的主要职责是：</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贯彻落实党中央、省、市和县关于医疗保障工作的方针政策和决策部署，坚持和加强党对医疗保障工作的集中统一领导。主要职责是：</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（一）拟订全县城镇职工和城乡居民医疗保险、生育保险、大病保险、医疗救助等医疗保障地方性政策、制度、规划和标准。贯彻落实离休干部医疗费社会统筹政策并组织实施。</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（二）贯彻落实省市医疗保障基金监督管理办法，建立健全医疗保障基金安全防控机制，运行维护智能监控平台，推进医疗保障基金支付方式改革，并组织实施。</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（三）贯彻落实全县城镇职工、城乡居民参保筹资和保障待遇政策，统筹城乡医疗保障政策标准，建立健全与筹资水平相适应的待遇调整机制。贯彻落实省市长期护理保险制度方案及政策标准并组织实施。</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四）贯彻落实全省城乡统一的药品、医用耗材、医疗服务项目、医疗服务设施等医保目录，组织制定全县城乡统一的药品、医用耗材、医疗服务项目、医疗服务设施的医保支付标准并组织实施，建立动态调整机制。</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五）贯彻落实省市药品、医用耗材价格和医疗服务项目、医疗服务设施收费等政策。建立健全医保支付医药服务价格合理确定和动态调整机制，依法管理药品、医用耗材、医疗服务价格政策执行情况。建立和完善药品、医用耗材和医疗服务价格监测信息发布制度。</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（六）贯彻落实省市药品、医用耗材的招标采购政策并组织实施，做好监督工作。做好药品、医用耗材招标采购平台建设工作。</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七）制定全县定点医药机构协议和支付管理办法并组织实施。建立健全医疗保障信用评价体系和信息披露制度，监督管理定点医药机构的医疗服务行为、医疗费用和医药价格，依法查处医疗保障领域违法违规行为。</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（八）负责医疗保障经办管理、公共服务体系和信息化建设。落实和完善异地就医管理和费用结算政策并组织实施。建立健全医疗保障关系转移接续制度。</w:t>
      </w:r>
    </w:p>
    <w:p>
      <w:pPr>
        <w:spacing w:line="584" w:lineRule="exact"/>
        <w:ind w:firstLine="660"/>
        <w:rPr>
          <w:rFonts w:ascii="仿宋" w:hAnsi="仿宋" w:eastAsia="仿宋" w:cs="Times New Roman"/>
          <w:color w:val="auto"/>
          <w:sz w:val="32"/>
          <w:szCs w:val="32"/>
        </w:rPr>
      </w:pPr>
      <w:r>
        <w:rPr>
          <w:rFonts w:ascii="仿宋" w:hAnsi="仿宋" w:eastAsia="仿宋" w:cs="Times New Roman"/>
          <w:color w:val="auto"/>
          <w:sz w:val="32"/>
          <w:szCs w:val="32"/>
        </w:rPr>
        <w:t>（九）完成县委、县政府交办的其他任务。</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大厂回族自治县医疗保障局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医疗保障局</w:t>
      </w:r>
      <w:r>
        <w:rPr>
          <w:rFonts w:ascii="仿宋" w:hAnsi="仿宋" w:eastAsia="仿宋" w:cs="Times New Roman"/>
          <w:sz w:val="32"/>
          <w:szCs w:val="32"/>
        </w:rPr>
        <w:t>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hint="eastAsia" w:ascii="仿宋" w:hAnsi="仿宋" w:eastAsia="仿宋" w:cs="Times New Roman"/>
          <w:sz w:val="32"/>
          <w:szCs w:val="32"/>
          <w:lang w:eastAsia="zh-CN"/>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1063.75</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1061.75</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2</w:t>
      </w:r>
      <w:r>
        <w:rPr>
          <w:rFonts w:ascii="仿宋" w:hAnsi="仿宋" w:eastAsia="仿宋" w:cs="Times New Roman"/>
          <w:sz w:val="32"/>
          <w:szCs w:val="32"/>
        </w:rPr>
        <w:t>万元</w:t>
      </w:r>
      <w:r>
        <w:rPr>
          <w:rFonts w:hint="eastAsia" w:ascii="仿宋" w:hAnsi="仿宋" w:eastAsia="仿宋" w:cs="Times New Roman"/>
          <w:sz w:val="32"/>
          <w:szCs w:val="32"/>
          <w:lang w:eastAsia="zh-CN"/>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hint="eastAsia" w:ascii="仿宋" w:hAnsi="仿宋" w:eastAsia="仿宋" w:cs="Times New Roman"/>
          <w:sz w:val="32"/>
          <w:szCs w:val="32"/>
          <w:lang w:eastAsia="zh-CN"/>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2022</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1063.75</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520.11</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458.78</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lang w:val="en-US" w:eastAsia="zh-CN"/>
        </w:rPr>
        <w:t>61.33</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lang w:val="en-US" w:eastAsia="zh-CN"/>
        </w:rPr>
        <w:t>543.64</w:t>
      </w:r>
      <w:r>
        <w:rPr>
          <w:rFonts w:ascii="仿宋" w:hAnsi="仿宋" w:eastAsia="仿宋" w:cs="Times New Roman"/>
          <w:sz w:val="32"/>
          <w:szCs w:val="32"/>
        </w:rPr>
        <w:t>万元，</w:t>
      </w:r>
      <w:r>
        <w:rPr>
          <w:rFonts w:ascii="仿宋" w:hAnsi="仿宋" w:eastAsia="仿宋" w:cs="Times New Roman"/>
          <w:color w:val="auto"/>
          <w:sz w:val="32"/>
          <w:szCs w:val="32"/>
        </w:rPr>
        <w:t>主要</w:t>
      </w:r>
      <w:r>
        <w:rPr>
          <w:rFonts w:ascii="仿宋" w:hAnsi="仿宋" w:eastAsia="仿宋" w:cs="Times New Roman"/>
          <w:sz w:val="32"/>
          <w:szCs w:val="32"/>
        </w:rPr>
        <w:t>为新冠病毒疫苗及接种费用县级补助资金</w:t>
      </w:r>
      <w:r>
        <w:rPr>
          <w:rFonts w:hint="eastAsia" w:ascii="仿宋" w:hAnsi="仿宋" w:eastAsia="仿宋" w:cs="Times New Roman"/>
          <w:sz w:val="32"/>
          <w:szCs w:val="32"/>
          <w:lang w:val="en-US" w:eastAsia="zh-CN"/>
        </w:rPr>
        <w:t>157.94万元</w:t>
      </w:r>
      <w:r>
        <w:rPr>
          <w:rFonts w:ascii="仿宋" w:hAnsi="仿宋" w:eastAsia="仿宋" w:cs="Times New Roman"/>
          <w:sz w:val="32"/>
          <w:szCs w:val="32"/>
        </w:rPr>
        <w:t>、更新购置医保监督执法用车</w:t>
      </w:r>
      <w:r>
        <w:rPr>
          <w:rFonts w:hint="eastAsia" w:ascii="仿宋" w:hAnsi="仿宋" w:eastAsia="仿宋" w:cs="Times New Roman"/>
          <w:sz w:val="32"/>
          <w:szCs w:val="32"/>
          <w:lang w:val="en-US" w:eastAsia="zh-CN"/>
        </w:rPr>
        <w:t>13.6万元</w:t>
      </w:r>
      <w:r>
        <w:rPr>
          <w:rFonts w:ascii="仿宋" w:hAnsi="仿宋" w:eastAsia="仿宋" w:cs="Times New Roman"/>
          <w:sz w:val="32"/>
          <w:szCs w:val="32"/>
        </w:rPr>
        <w:t>、家庭医生签约服务费</w:t>
      </w:r>
      <w:r>
        <w:rPr>
          <w:rFonts w:hint="eastAsia" w:ascii="仿宋" w:hAnsi="仿宋" w:eastAsia="仿宋" w:cs="Times New Roman"/>
          <w:sz w:val="32"/>
          <w:szCs w:val="32"/>
          <w:lang w:val="en-US" w:eastAsia="zh-CN"/>
        </w:rPr>
        <w:t>90万元</w:t>
      </w:r>
      <w:r>
        <w:rPr>
          <w:rFonts w:ascii="仿宋" w:hAnsi="仿宋" w:eastAsia="仿宋" w:cs="Times New Roman"/>
          <w:sz w:val="32"/>
          <w:szCs w:val="32"/>
        </w:rPr>
        <w:t>等</w:t>
      </w:r>
      <w:r>
        <w:rPr>
          <w:rFonts w:hint="eastAsia" w:ascii="仿宋" w:hAnsi="仿宋" w:eastAsia="仿宋" w:cs="Times New Roman"/>
          <w:sz w:val="32"/>
          <w:szCs w:val="32"/>
          <w:lang w:eastAsia="zh-CN"/>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1063.75</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w:t>
      </w:r>
      <w:r>
        <w:rPr>
          <w:rFonts w:ascii="仿宋" w:hAnsi="仿宋" w:eastAsia="仿宋" w:cs="Times New Roman"/>
          <w:sz w:val="32"/>
          <w:szCs w:val="32"/>
          <w:highlight w:val="none"/>
        </w:rPr>
        <w:t>减少</w:t>
      </w:r>
      <w:r>
        <w:rPr>
          <w:rFonts w:hint="eastAsia" w:ascii="仿宋" w:hAnsi="仿宋" w:eastAsia="仿宋" w:cs="Times New Roman"/>
          <w:sz w:val="32"/>
          <w:szCs w:val="32"/>
          <w:lang w:val="en-US" w:eastAsia="zh-CN"/>
        </w:rPr>
        <w:t>136.43</w:t>
      </w:r>
      <w:r>
        <w:rPr>
          <w:rFonts w:ascii="仿宋" w:hAnsi="仿宋" w:eastAsia="仿宋" w:cs="Times New Roman"/>
          <w:sz w:val="32"/>
          <w:szCs w:val="32"/>
        </w:rPr>
        <w:t>万元，其中：基本支出</w:t>
      </w:r>
      <w:r>
        <w:rPr>
          <w:rFonts w:ascii="仿宋" w:hAnsi="仿宋" w:eastAsia="仿宋" w:cs="Times New Roman"/>
          <w:sz w:val="32"/>
          <w:szCs w:val="32"/>
          <w:highlight w:val="none"/>
        </w:rPr>
        <w:t>减少</w:t>
      </w:r>
      <w:r>
        <w:rPr>
          <w:rFonts w:hint="eastAsia" w:ascii="仿宋" w:hAnsi="仿宋" w:eastAsia="仿宋" w:cs="Times New Roman"/>
          <w:sz w:val="32"/>
          <w:szCs w:val="32"/>
          <w:lang w:val="en-US" w:eastAsia="zh-CN"/>
        </w:rPr>
        <w:t>26.52</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人员调出及退休人员增加</w:t>
      </w:r>
      <w:r>
        <w:rPr>
          <w:rFonts w:ascii="仿宋" w:hAnsi="仿宋" w:eastAsia="仿宋" w:cs="Times New Roman"/>
          <w:sz w:val="32"/>
          <w:szCs w:val="32"/>
        </w:rPr>
        <w:t>；项目支出</w:t>
      </w:r>
      <w:r>
        <w:rPr>
          <w:rFonts w:ascii="仿宋" w:hAnsi="仿宋" w:eastAsia="仿宋" w:cs="Times New Roman"/>
          <w:sz w:val="32"/>
          <w:szCs w:val="32"/>
          <w:highlight w:val="none"/>
        </w:rPr>
        <w:t>减少</w:t>
      </w:r>
      <w:r>
        <w:rPr>
          <w:rFonts w:hint="eastAsia" w:ascii="仿宋" w:hAnsi="仿宋" w:eastAsia="仿宋" w:cs="Times New Roman"/>
          <w:sz w:val="32"/>
          <w:szCs w:val="32"/>
          <w:highlight w:val="none"/>
          <w:lang w:val="en-US" w:eastAsia="zh-CN"/>
        </w:rPr>
        <w:t>109.91</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项目减少</w:t>
      </w:r>
      <w:r>
        <w:rPr>
          <w:rFonts w:ascii="仿宋" w:hAnsi="仿宋" w:eastAsia="仿宋"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年，我局机关运行经费共计安排</w:t>
      </w:r>
      <w:r>
        <w:rPr>
          <w:rFonts w:hint="eastAsia" w:ascii="仿宋" w:hAnsi="仿宋" w:eastAsia="仿宋" w:cs="Times New Roman"/>
          <w:sz w:val="32"/>
          <w:szCs w:val="32"/>
          <w:lang w:val="en-US" w:eastAsia="zh-CN"/>
        </w:rPr>
        <w:t>61.33</w:t>
      </w:r>
      <w:r>
        <w:rPr>
          <w:rFonts w:ascii="仿宋" w:hAnsi="仿宋" w:eastAsia="仿宋" w:cs="Times New Roman"/>
          <w:sz w:val="32"/>
          <w:szCs w:val="32"/>
        </w:rPr>
        <w:t>万元，主要用于</w:t>
      </w:r>
      <w:r>
        <w:rPr>
          <w:rFonts w:hint="eastAsia" w:ascii="仿宋" w:hAnsi="仿宋" w:eastAsia="仿宋" w:cs="Times New Roman"/>
          <w:sz w:val="32"/>
          <w:szCs w:val="32"/>
          <w:lang w:val="en-US" w:eastAsia="zh-CN"/>
        </w:rPr>
        <w:t>大厂回族自治县医疗保障局</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lang w:eastAsia="zh-CN"/>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lang w:val="en-US" w:eastAsia="zh-CN"/>
        </w:rPr>
        <w:t>18.95</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18.6</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13.6</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5</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0.35</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sz w:val="32"/>
          <w:szCs w:val="32"/>
          <w:highlight w:val="none"/>
        </w:rPr>
        <w:t>增</w:t>
      </w:r>
      <w:r>
        <w:rPr>
          <w:rFonts w:hint="eastAsia" w:ascii="仿宋" w:hAnsi="仿宋" w:eastAsia="仿宋" w:cs="Times New Roman"/>
          <w:sz w:val="32"/>
          <w:szCs w:val="32"/>
          <w:highlight w:val="none"/>
        </w:rPr>
        <w:t>加</w:t>
      </w:r>
      <w:r>
        <w:rPr>
          <w:rFonts w:hint="eastAsia" w:ascii="仿宋" w:hAnsi="仿宋" w:eastAsia="仿宋" w:cs="Times New Roman"/>
          <w:sz w:val="32"/>
          <w:szCs w:val="32"/>
          <w:lang w:val="en-US" w:eastAsia="zh-CN"/>
        </w:rPr>
        <w:t>13.59</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w:t>
      </w:r>
      <w:r>
        <w:rPr>
          <w:rFonts w:ascii="仿宋" w:hAnsi="仿宋" w:eastAsia="仿宋" w:cs="Times New Roman"/>
          <w:sz w:val="32"/>
          <w:szCs w:val="32"/>
          <w:highlight w:val="none"/>
        </w:rPr>
        <w:t>增</w:t>
      </w:r>
      <w:r>
        <w:rPr>
          <w:rFonts w:hint="eastAsia" w:ascii="仿宋" w:hAnsi="仿宋" w:eastAsia="仿宋" w:cs="Times New Roman"/>
          <w:sz w:val="32"/>
          <w:szCs w:val="32"/>
          <w:highlight w:val="none"/>
        </w:rPr>
        <w:t>加</w:t>
      </w:r>
      <w:r>
        <w:rPr>
          <w:rFonts w:hint="eastAsia" w:ascii="仿宋" w:hAnsi="仿宋" w:eastAsia="仿宋" w:cs="Times New Roman"/>
          <w:sz w:val="32"/>
          <w:szCs w:val="32"/>
          <w:lang w:val="en-US" w:eastAsia="zh-CN"/>
        </w:rPr>
        <w:t>13.6</w:t>
      </w:r>
      <w:r>
        <w:rPr>
          <w:rFonts w:ascii="仿宋" w:hAnsi="仿宋" w:eastAsia="仿宋" w:cs="Times New Roman"/>
          <w:sz w:val="32"/>
          <w:szCs w:val="32"/>
        </w:rPr>
        <w:t>万元（其中：公务用车购置费</w:t>
      </w:r>
      <w:r>
        <w:rPr>
          <w:rFonts w:ascii="仿宋" w:hAnsi="仿宋" w:eastAsia="仿宋" w:cs="Times New Roman"/>
          <w:sz w:val="32"/>
          <w:szCs w:val="32"/>
          <w:highlight w:val="none"/>
        </w:rPr>
        <w:t>增</w:t>
      </w:r>
      <w:r>
        <w:rPr>
          <w:rFonts w:hint="eastAsia" w:ascii="仿宋" w:hAnsi="仿宋" w:eastAsia="仿宋" w:cs="Times New Roman"/>
          <w:sz w:val="32"/>
          <w:szCs w:val="32"/>
          <w:highlight w:val="none"/>
        </w:rPr>
        <w:t>加</w:t>
      </w:r>
      <w:r>
        <w:rPr>
          <w:rFonts w:hint="eastAsia" w:ascii="仿宋" w:hAnsi="仿宋" w:eastAsia="仿宋" w:cs="Times New Roman"/>
          <w:sz w:val="32"/>
          <w:szCs w:val="32"/>
          <w:lang w:val="en-US" w:eastAsia="zh-CN"/>
        </w:rPr>
        <w:t>13.6</w:t>
      </w:r>
      <w:r>
        <w:rPr>
          <w:rFonts w:ascii="仿宋" w:hAnsi="仿宋" w:eastAsia="仿宋" w:cs="Times New Roman"/>
          <w:sz w:val="32"/>
          <w:szCs w:val="32"/>
        </w:rPr>
        <w:t>万元，公务用车运维费</w:t>
      </w:r>
      <w:r>
        <w:rPr>
          <w:rFonts w:hint="eastAsia" w:ascii="仿宋" w:hAnsi="仿宋" w:eastAsia="仿宋" w:cs="Times New Roman"/>
          <w:sz w:val="32"/>
          <w:szCs w:val="32"/>
          <w:highlight w:val="none"/>
          <w:lang w:val="en-US" w:eastAsia="zh-CN"/>
        </w:rPr>
        <w:t>无增减变化</w:t>
      </w:r>
      <w:r>
        <w:rPr>
          <w:rFonts w:ascii="仿宋" w:hAnsi="仿宋" w:eastAsia="仿宋" w:cs="Times New Roman"/>
          <w:sz w:val="32"/>
          <w:szCs w:val="32"/>
        </w:rPr>
        <w:t>)</w:t>
      </w:r>
      <w:r>
        <w:rPr>
          <w:rFonts w:hint="eastAsia" w:ascii="仿宋" w:hAnsi="仿宋" w:eastAsia="仿宋" w:cs="Times New Roman"/>
          <w:sz w:val="32"/>
          <w:szCs w:val="32"/>
        </w:rPr>
        <w:t>，</w:t>
      </w:r>
      <w:r>
        <w:rPr>
          <w:rFonts w:ascii="仿宋" w:hAnsi="仿宋" w:eastAsia="仿宋" w:cs="Times New Roman"/>
          <w:sz w:val="32"/>
          <w:szCs w:val="32"/>
        </w:rPr>
        <w:t>主要原因是</w:t>
      </w:r>
      <w:r>
        <w:rPr>
          <w:rFonts w:hint="eastAsia" w:ascii="仿宋" w:hAnsi="仿宋" w:eastAsia="仿宋" w:cs="Times New Roman"/>
          <w:sz w:val="32"/>
          <w:szCs w:val="32"/>
          <w:lang w:val="en-US" w:eastAsia="zh-CN"/>
        </w:rPr>
        <w:t>我单位一辆执法用车已无法保障工作正常开展，需报废后购置一辆执法用车。</w:t>
      </w:r>
      <w:r>
        <w:rPr>
          <w:rFonts w:ascii="仿宋" w:hAnsi="仿宋" w:eastAsia="仿宋" w:cs="Times New Roman"/>
          <w:sz w:val="32"/>
          <w:szCs w:val="32"/>
        </w:rPr>
        <w:t>公务接待费</w:t>
      </w:r>
      <w:r>
        <w:rPr>
          <w:rFonts w:hint="eastAsia" w:ascii="仿宋" w:hAnsi="仿宋" w:eastAsia="仿宋" w:cs="Times New Roman"/>
          <w:sz w:val="32"/>
          <w:szCs w:val="32"/>
          <w:lang w:val="en-US" w:eastAsia="zh-CN"/>
        </w:rPr>
        <w:t>0.35</w:t>
      </w:r>
      <w:r>
        <w:rPr>
          <w:rFonts w:ascii="仿宋" w:hAnsi="仿宋" w:eastAsia="仿宋" w:cs="Times New Roman"/>
          <w:sz w:val="32"/>
          <w:szCs w:val="32"/>
        </w:rPr>
        <w:t>万元</w:t>
      </w:r>
      <w:r>
        <w:rPr>
          <w:rFonts w:ascii="仿宋" w:hAnsi="仿宋" w:eastAsia="仿宋" w:cs="Times New Roman"/>
          <w:sz w:val="32"/>
          <w:szCs w:val="32"/>
          <w:highlight w:val="none"/>
        </w:rPr>
        <w:t>减</w:t>
      </w:r>
      <w:r>
        <w:rPr>
          <w:rFonts w:hint="eastAsia" w:ascii="仿宋" w:hAnsi="仿宋" w:eastAsia="仿宋" w:cs="Times New Roman"/>
          <w:sz w:val="32"/>
          <w:szCs w:val="32"/>
          <w:highlight w:val="none"/>
        </w:rPr>
        <w:t>少</w:t>
      </w:r>
      <w:r>
        <w:rPr>
          <w:rFonts w:hint="eastAsia" w:ascii="仿宋" w:hAnsi="仿宋" w:eastAsia="仿宋" w:cs="Times New Roman"/>
          <w:sz w:val="32"/>
          <w:szCs w:val="32"/>
          <w:lang w:val="en-US" w:eastAsia="zh-CN"/>
        </w:rPr>
        <w:t>0.01</w:t>
      </w:r>
      <w:r>
        <w:rPr>
          <w:rFonts w:hint="eastAsia" w:ascii="仿宋" w:hAnsi="仿宋" w:eastAsia="仿宋" w:cs="Times New Roman"/>
          <w:sz w:val="32"/>
          <w:szCs w:val="32"/>
        </w:rPr>
        <w:t>万元，</w:t>
      </w:r>
      <w:r>
        <w:rPr>
          <w:rFonts w:ascii="仿宋" w:hAnsi="仿宋" w:eastAsia="仿宋" w:cs="Times New Roman"/>
          <w:sz w:val="32"/>
          <w:szCs w:val="32"/>
        </w:rPr>
        <w:t>主要原因是</w:t>
      </w:r>
      <w:r>
        <w:rPr>
          <w:rFonts w:hint="eastAsia" w:ascii="仿宋" w:hAnsi="仿宋" w:eastAsia="仿宋" w:cs="Times New Roman"/>
          <w:sz w:val="32"/>
          <w:szCs w:val="32"/>
        </w:rPr>
        <w:t>我部门切实落实勤俭节约各项规定，严格控制公务接待费支出</w:t>
      </w:r>
      <w:r>
        <w:rPr>
          <w:rFonts w:ascii="仿宋" w:hAnsi="仿宋" w:eastAsia="仿宋"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pStyle w:val="15"/>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以习近平新时代中国特色社会主义思想为指导，全面落实县委十一届六次全会精神，按照兜底线、织密网、建机制要求，坚持以民为中心的发展思想，不断扩大参保覆盖面，稳定全县基本医疗保险参保人数；巩固城乡居民基本医疗保险市级统筹，确保基本医疗保障体系高效运行；继续扩大药品集中带量采购和使用范围，联合京津开展医用耗材集中带量采购，有效减轻群众用药和看病就医负担；深化京津冀医疗保障协同发展，争取京津冀异地就医门诊费用直接结算；持续开展打击欺诈骗保维护基金安全活动，切实维护基金安全。</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pStyle w:val="16"/>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1</w:t>
      </w:r>
      <w:r>
        <w:rPr>
          <w:rFonts w:ascii="仿宋" w:hAnsi="仿宋" w:eastAsia="仿宋" w:cs="Times New Roman"/>
          <w:kern w:val="2"/>
          <w:sz w:val="32"/>
          <w:szCs w:val="32"/>
          <w:lang w:val="en-US" w:eastAsia="zh-CN" w:bidi="ar-SA"/>
        </w:rPr>
        <w:t>）、医疗保险政策制定、管理及实施</w:t>
      </w:r>
    </w:p>
    <w:p>
      <w:pPr>
        <w:pStyle w:val="16"/>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贯彻落实城镇职工和城乡居民医疗保险、生育保险、大病保险等医疗保障地方性政策、制度、规划和标准。全面开展参保登记，扩大医疗保险的覆盖面，贯彻落城镇职工、城乡居民参保筹资和保障待遇政策。</w:t>
      </w:r>
    </w:p>
    <w:p>
      <w:pPr>
        <w:pStyle w:val="16"/>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绩效指标：医疗保险报销结算及时率：医疗保险报销事项在规定时间内办结的及时率≥95%。</w:t>
      </w:r>
    </w:p>
    <w:p>
      <w:pPr>
        <w:pStyle w:val="16"/>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2</w:t>
      </w:r>
      <w:r>
        <w:rPr>
          <w:rFonts w:ascii="仿宋" w:hAnsi="仿宋" w:eastAsia="仿宋" w:cs="Times New Roman"/>
          <w:kern w:val="2"/>
          <w:sz w:val="32"/>
          <w:szCs w:val="32"/>
          <w:lang w:val="en-US" w:eastAsia="zh-CN" w:bidi="ar-SA"/>
        </w:rPr>
        <w:t>）、医疗保险基金管理与监督</w:t>
      </w:r>
    </w:p>
    <w:p>
      <w:pPr>
        <w:pStyle w:val="16"/>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绩效目标：巩固基金监管成果，对发现的医疗保障领域各种违规违法问题从严从重严肃处理，管好用好“百姓”救命钱。</w:t>
      </w:r>
    </w:p>
    <w:p>
      <w:pPr>
        <w:pStyle w:val="16"/>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持续开展打击欺诈骗保维护基金安全活动。组织对全县基金监管人员开展专项业务培训，通过开展定期检查、参加省市互查、以查代训，全面提升监管能力。强化信息化监管手段，提升信息化监管水平。</w:t>
      </w:r>
    </w:p>
    <w:p>
      <w:pPr>
        <w:pStyle w:val="16"/>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3</w:t>
      </w:r>
      <w:r>
        <w:rPr>
          <w:rFonts w:ascii="仿宋" w:hAnsi="仿宋" w:eastAsia="仿宋" w:cs="Times New Roman"/>
          <w:kern w:val="2"/>
          <w:sz w:val="32"/>
          <w:szCs w:val="32"/>
          <w:lang w:val="en-US" w:eastAsia="zh-CN" w:bidi="ar-SA"/>
        </w:rPr>
        <w:t>）、药品和医疗服务价格管理与监督</w:t>
      </w:r>
    </w:p>
    <w:p>
      <w:pPr>
        <w:pStyle w:val="16"/>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绩效目标：依法管理和监督药品、医用耗材、医疗服务价格等政策的执行情况，确保药品和医疗服务管理办法的顺利实施。</w:t>
      </w:r>
    </w:p>
    <w:p>
      <w:pPr>
        <w:pStyle w:val="16"/>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绩效指标：对医疗价格政策执行情况的检查，对医疗价格政策执行情况的检查覆盖率达85%。</w:t>
      </w:r>
    </w:p>
    <w:p>
      <w:pPr>
        <w:pStyle w:val="16"/>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4</w:t>
      </w:r>
      <w:r>
        <w:rPr>
          <w:rFonts w:ascii="仿宋" w:hAnsi="仿宋" w:eastAsia="仿宋" w:cs="Times New Roman"/>
          <w:kern w:val="2"/>
          <w:sz w:val="32"/>
          <w:szCs w:val="32"/>
          <w:lang w:val="en-US" w:eastAsia="zh-CN" w:bidi="ar-SA"/>
        </w:rPr>
        <w:t>）、社会救助</w:t>
      </w:r>
    </w:p>
    <w:p>
      <w:pPr>
        <w:pStyle w:val="16"/>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绩效目标：保障城乡困难群居民获得医疗救助，降低困难群众医疗负担，使困难群众的医疗支出较大的问题得到有效解决。</w:t>
      </w:r>
    </w:p>
    <w:p>
      <w:pPr>
        <w:pStyle w:val="16"/>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绩效指标：符合救助条件的城乡困难群众救助金到位率，享受救助待遇人数与应享受救助待遇人数之间的比率高达100%。</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pStyle w:val="17"/>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1</w:t>
      </w:r>
      <w:r>
        <w:rPr>
          <w:rFonts w:ascii="仿宋" w:hAnsi="仿宋" w:eastAsia="仿宋" w:cs="Times New Roman"/>
          <w:kern w:val="2"/>
          <w:sz w:val="32"/>
          <w:szCs w:val="32"/>
          <w:lang w:val="en-US" w:eastAsia="zh-CN" w:bidi="ar-SA"/>
        </w:rPr>
        <w:t>）加强组织领导。将事前评估、目标管理、运行监控、绩效评价、结果应用等各项改革措施，有效融入预算管理的全过程，建立健全医疗保障领域预算绩效管理制度体系。成立由局主要领导同志任组长的预算绩效工作领导小组，建立统筹协调、分工协作、密切配合、合理推进的工作机制。围绕年度总体绩效目标和分项绩效目标，细化工作流程，保证总体绩效目标圆满实现。</w:t>
      </w:r>
    </w:p>
    <w:p>
      <w:pPr>
        <w:pStyle w:val="17"/>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2</w:t>
      </w:r>
      <w:r>
        <w:rPr>
          <w:rFonts w:ascii="仿宋" w:hAnsi="仿宋" w:eastAsia="仿宋" w:cs="Times New Roman"/>
          <w:kern w:val="2"/>
          <w:sz w:val="32"/>
          <w:szCs w:val="32"/>
          <w:lang w:val="en-US" w:eastAsia="zh-CN" w:bidi="ar-SA"/>
        </w:rPr>
        <w:t>）全力做好医疗保障重点工作。坚持以人民为中心的发展思想，按照兜底线、织密网、建机制的要求，推进医疗、医保、医药、医价“四医联动”改革，扎实做好药品集中采购和使用试点工作，持续开展打击欺诈骗保维护基金安全活动，探索推进医用耗材带量采购，强化“互联网+医保”应用，努力为参保人提供更加便捷可及的医疗保障公共服务。</w:t>
      </w:r>
    </w:p>
    <w:p>
      <w:pPr>
        <w:pStyle w:val="17"/>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3</w:t>
      </w:r>
      <w:r>
        <w:rPr>
          <w:rFonts w:ascii="仿宋" w:hAnsi="仿宋" w:eastAsia="仿宋" w:cs="Times New Roman"/>
          <w:kern w:val="2"/>
          <w:sz w:val="32"/>
          <w:szCs w:val="32"/>
          <w:lang w:val="en-US" w:eastAsia="zh-CN" w:bidi="ar-SA"/>
        </w:rPr>
        <w:t>）加强资金支出管理。围绕年度重点工作，进一步优化支出结构，编细编实预算、按规定及时下达资金，确保支出进度达标。积极开展预算资金使用绩效运行监控，发现问题及时采取措施，确保绩效目标如期保质实现。</w:t>
      </w:r>
    </w:p>
    <w:p>
      <w:pPr>
        <w:pStyle w:val="17"/>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4</w:t>
      </w:r>
      <w:r>
        <w:rPr>
          <w:rFonts w:ascii="仿宋" w:hAnsi="仿宋" w:eastAsia="仿宋" w:cs="Times New Roman"/>
          <w:kern w:val="2"/>
          <w:sz w:val="32"/>
          <w:szCs w:val="32"/>
          <w:lang w:val="en-US" w:eastAsia="zh-CN" w:bidi="ar-SA"/>
        </w:rPr>
        <w:t>）积极做好绩效自评。按财政要求开展上年度部门预算绩效自评和重点评价工作，对评价中发现的问题及时整改，调整优化支出结构，提高财政资金使用效益。</w:t>
      </w:r>
    </w:p>
    <w:p>
      <w:pPr>
        <w:pStyle w:val="17"/>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5</w:t>
      </w:r>
      <w:r>
        <w:rPr>
          <w:rFonts w:ascii="仿宋" w:hAnsi="仿宋" w:eastAsia="仿宋" w:cs="Times New Roman"/>
          <w:kern w:val="2"/>
          <w:sz w:val="32"/>
          <w:szCs w:val="32"/>
          <w:lang w:val="en-US" w:eastAsia="zh-CN" w:bidi="ar-SA"/>
        </w:rPr>
        <w:t>）加强内部监督。加强内部监督制度建设，对绩效运行情况、重大支出等事项的决策和执行进行督导，对会计资料进行内部审计，配合做好审计、财政监督等外部监督，确保财政资金安全有效。</w:t>
      </w:r>
    </w:p>
    <w:p>
      <w:pPr>
        <w:pStyle w:val="17"/>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6</w:t>
      </w:r>
      <w:r>
        <w:rPr>
          <w:rFonts w:ascii="仿宋" w:hAnsi="仿宋" w:eastAsia="仿宋" w:cs="Times New Roman"/>
          <w:kern w:val="2"/>
          <w:sz w:val="32"/>
          <w:szCs w:val="32"/>
          <w:lang w:val="en-US" w:eastAsia="zh-CN" w:bidi="ar-SA"/>
        </w:rPr>
        <w:t xml:space="preserve">）加强宣传培训调研。加强系统内人员培训，提高职工业务素质；加强调研，提出优化财政资金配置、提高资金使用效益的意见；加大宣传力度，强化预算绩效管理意识，促进预算绩效水平进一步提升。 </w:t>
      </w: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hint="eastAsia"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11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77"/>
        <w:gridCol w:w="736"/>
        <w:gridCol w:w="1361"/>
        <w:gridCol w:w="2646"/>
        <w:gridCol w:w="1288"/>
        <w:gridCol w:w="409"/>
        <w:gridCol w:w="343"/>
        <w:gridCol w:w="802"/>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3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6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64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28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55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327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77" w:type="dxa"/>
            <w:vMerge w:val="continue"/>
            <w:tcBorders>
              <w:tl2br w:val="nil"/>
              <w:tr2bl w:val="nil"/>
            </w:tcBorders>
            <w:vAlign w:val="center"/>
          </w:tcPr>
          <w:p/>
        </w:tc>
        <w:tc>
          <w:tcPr>
            <w:tcW w:w="736" w:type="dxa"/>
            <w:vMerge w:val="continue"/>
            <w:tcBorders>
              <w:tl2br w:val="nil"/>
              <w:tr2bl w:val="nil"/>
            </w:tcBorders>
            <w:vAlign w:val="center"/>
          </w:tcPr>
          <w:p/>
        </w:tc>
        <w:tc>
          <w:tcPr>
            <w:tcW w:w="1361" w:type="dxa"/>
            <w:vMerge w:val="continue"/>
            <w:tcBorders>
              <w:tl2br w:val="nil"/>
              <w:tr2bl w:val="nil"/>
            </w:tcBorders>
            <w:vAlign w:val="center"/>
          </w:tcPr>
          <w:p/>
        </w:tc>
        <w:tc>
          <w:tcPr>
            <w:tcW w:w="2646" w:type="dxa"/>
            <w:vMerge w:val="continue"/>
            <w:tcBorders>
              <w:tl2br w:val="nil"/>
              <w:tr2bl w:val="nil"/>
            </w:tcBorders>
            <w:vAlign w:val="center"/>
          </w:tcPr>
          <w:p/>
        </w:tc>
        <w:tc>
          <w:tcPr>
            <w:tcW w:w="1288" w:type="dxa"/>
            <w:vMerge w:val="continue"/>
            <w:tcBorders>
              <w:tl2br w:val="nil"/>
              <w:tr2bl w:val="nil"/>
            </w:tcBorders>
            <w:vAlign w:val="center"/>
          </w:tcPr>
          <w:p/>
        </w:tc>
        <w:tc>
          <w:tcPr>
            <w:tcW w:w="4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3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80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3273"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77"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736"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61" w:type="dxa"/>
            <w:tcBorders>
              <w:tl2br w:val="nil"/>
              <w:tr2bl w:val="nil"/>
            </w:tcBorders>
            <w:vAlign w:val="center"/>
          </w:tcPr>
          <w:p>
            <w:pPr>
              <w:widowControl/>
              <w:spacing w:line="240" w:lineRule="exact"/>
              <w:jc w:val="left"/>
              <w:rPr>
                <w:rFonts w:ascii="方正书宋_GBK" w:eastAsia="方正书宋_GBK"/>
              </w:rPr>
            </w:pPr>
            <w:r>
              <w:rPr>
                <w:rFonts w:hint="eastAsia" w:eastAsia="仿宋_GB2312"/>
                <w:kern w:val="0"/>
                <w:szCs w:val="21"/>
              </w:rPr>
              <w:t>应补尽补比例</w:t>
            </w:r>
          </w:p>
        </w:tc>
        <w:tc>
          <w:tcPr>
            <w:tcW w:w="2646"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比例每降低5%，扣数量分10%，低于目标值60%，不得分</w:t>
            </w:r>
          </w:p>
        </w:tc>
        <w:tc>
          <w:tcPr>
            <w:tcW w:w="1288" w:type="dxa"/>
            <w:tcBorders>
              <w:tl2br w:val="nil"/>
              <w:tr2bl w:val="nil"/>
            </w:tcBorders>
            <w:vAlign w:val="center"/>
          </w:tcPr>
          <w:p>
            <w:pPr>
              <w:widowControl/>
              <w:spacing w:line="240" w:lineRule="exact"/>
              <w:jc w:val="left"/>
              <w:rPr>
                <w:rFonts w:ascii="方正书宋_GBK" w:eastAsia="方正书宋_GBK"/>
              </w:rPr>
            </w:pPr>
            <w:r>
              <w:rPr>
                <w:rFonts w:hint="eastAsia" w:eastAsia="仿宋_GB2312"/>
                <w:kern w:val="0"/>
                <w:szCs w:val="21"/>
              </w:rPr>
              <w:t>应补尽补比例</w:t>
            </w:r>
          </w:p>
        </w:tc>
        <w:tc>
          <w:tcPr>
            <w:tcW w:w="409"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hAnsi="宋体" w:eastAsia="仿宋_GB2312" w:cs="仿宋_GB2312"/>
                <w:kern w:val="0"/>
                <w:szCs w:val="21"/>
              </w:rPr>
              <w:t>≥</w:t>
            </w:r>
          </w:p>
        </w:tc>
        <w:tc>
          <w:tcPr>
            <w:tcW w:w="34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100</w:t>
            </w:r>
          </w:p>
        </w:tc>
        <w:tc>
          <w:tcPr>
            <w:tcW w:w="802"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w:t>
            </w:r>
          </w:p>
        </w:tc>
        <w:tc>
          <w:tcPr>
            <w:tcW w:w="327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《大厂回族自治县关于进一步规范医疗救助制度全面完善重特大疾病医疗救助工作的实施意见》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77"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736"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61"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2022年城乡居民实际参保人数</w:t>
            </w:r>
          </w:p>
        </w:tc>
        <w:tc>
          <w:tcPr>
            <w:tcW w:w="2646"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未完成10%，减数量分值10%，低于60%得0分</w:t>
            </w:r>
          </w:p>
        </w:tc>
        <w:tc>
          <w:tcPr>
            <w:tcW w:w="1288"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2022年城乡居民实际参保人数</w:t>
            </w:r>
          </w:p>
        </w:tc>
        <w:tc>
          <w:tcPr>
            <w:tcW w:w="409"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hAnsi="宋体" w:eastAsia="仿宋_GB2312" w:cs="仿宋_GB2312"/>
                <w:kern w:val="0"/>
                <w:szCs w:val="21"/>
              </w:rPr>
              <w:t>≥</w:t>
            </w:r>
          </w:p>
        </w:tc>
        <w:tc>
          <w:tcPr>
            <w:tcW w:w="34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10</w:t>
            </w:r>
          </w:p>
        </w:tc>
        <w:tc>
          <w:tcPr>
            <w:tcW w:w="802"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万人</w:t>
            </w:r>
          </w:p>
        </w:tc>
        <w:tc>
          <w:tcPr>
            <w:tcW w:w="327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1、廊政办（2016）77号 ，2、2021年参保人数为98815人，2022年预计为100000人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7" w:type="dxa"/>
            <w:vMerge w:val="continue"/>
            <w:tcBorders>
              <w:tl2br w:val="nil"/>
              <w:tr2bl w:val="nil"/>
            </w:tcBorders>
            <w:vAlign w:val="center"/>
          </w:tcPr>
          <w:p/>
        </w:tc>
        <w:tc>
          <w:tcPr>
            <w:tcW w:w="736"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361"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医疗救助合规人数占医疗救助人数的比例</w:t>
            </w:r>
          </w:p>
        </w:tc>
        <w:tc>
          <w:tcPr>
            <w:tcW w:w="2646" w:type="dxa"/>
            <w:tcBorders>
              <w:tl2br w:val="nil"/>
              <w:tr2bl w:val="nil"/>
            </w:tcBorders>
            <w:vAlign w:val="center"/>
          </w:tcPr>
          <w:p>
            <w:pPr>
              <w:widowControl/>
              <w:adjustRightInd w:val="0"/>
              <w:snapToGrid w:val="0"/>
              <w:spacing w:line="240" w:lineRule="exact"/>
              <w:rPr>
                <w:rFonts w:ascii="方正书宋_GBK" w:eastAsia="方正书宋_GBK"/>
              </w:rPr>
            </w:pPr>
            <w:r>
              <w:rPr>
                <w:rFonts w:hint="eastAsia" w:eastAsia="仿宋_GB2312"/>
                <w:kern w:val="0"/>
                <w:szCs w:val="21"/>
              </w:rPr>
              <w:t>精准率每降低5%，扣质量分10%，低于目标值60%，不得分</w:t>
            </w:r>
          </w:p>
        </w:tc>
        <w:tc>
          <w:tcPr>
            <w:tcW w:w="1288"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医疗救助合规人数占医疗救助人数的比例</w:t>
            </w:r>
          </w:p>
        </w:tc>
        <w:tc>
          <w:tcPr>
            <w:tcW w:w="409"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w:t>
            </w:r>
          </w:p>
        </w:tc>
        <w:tc>
          <w:tcPr>
            <w:tcW w:w="34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100</w:t>
            </w:r>
          </w:p>
        </w:tc>
        <w:tc>
          <w:tcPr>
            <w:tcW w:w="802"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w:t>
            </w:r>
          </w:p>
        </w:tc>
        <w:tc>
          <w:tcPr>
            <w:tcW w:w="327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《大厂回族自治县关于进一步规范医疗救助制度全面完善重特大疾病医疗救助工作的实施意见》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7" w:type="dxa"/>
            <w:vMerge w:val="continue"/>
            <w:tcBorders>
              <w:tl2br w:val="nil"/>
              <w:tr2bl w:val="nil"/>
            </w:tcBorders>
            <w:vAlign w:val="center"/>
          </w:tcPr>
          <w:p/>
        </w:tc>
        <w:tc>
          <w:tcPr>
            <w:tcW w:w="736"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61"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检查定点医疗机构覆盖率</w:t>
            </w:r>
          </w:p>
        </w:tc>
        <w:tc>
          <w:tcPr>
            <w:tcW w:w="2646"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eastAsia="仿宋_GB2312"/>
                <w:kern w:val="0"/>
                <w:szCs w:val="21"/>
              </w:rPr>
              <w:t>覆盖率每减少5%，扣数量分10%</w:t>
            </w:r>
          </w:p>
        </w:tc>
        <w:tc>
          <w:tcPr>
            <w:tcW w:w="1288"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检查定点医疗机构覆盖率</w:t>
            </w:r>
          </w:p>
        </w:tc>
        <w:tc>
          <w:tcPr>
            <w:tcW w:w="409"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w:t>
            </w:r>
          </w:p>
        </w:tc>
        <w:tc>
          <w:tcPr>
            <w:tcW w:w="34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100</w:t>
            </w:r>
          </w:p>
        </w:tc>
        <w:tc>
          <w:tcPr>
            <w:tcW w:w="802"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w:t>
            </w:r>
          </w:p>
        </w:tc>
        <w:tc>
          <w:tcPr>
            <w:tcW w:w="327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7" w:type="dxa"/>
            <w:vMerge w:val="continue"/>
            <w:tcBorders>
              <w:tl2br w:val="nil"/>
              <w:tr2bl w:val="nil"/>
            </w:tcBorders>
            <w:vAlign w:val="center"/>
          </w:tcPr>
          <w:p/>
        </w:tc>
        <w:tc>
          <w:tcPr>
            <w:tcW w:w="736"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61"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宣传全民参保政策覆盖全县应参保人群的比率</w:t>
            </w:r>
          </w:p>
        </w:tc>
        <w:tc>
          <w:tcPr>
            <w:tcW w:w="2646" w:type="dxa"/>
            <w:tcBorders>
              <w:tl2br w:val="nil"/>
              <w:tr2bl w:val="nil"/>
            </w:tcBorders>
            <w:vAlign w:val="center"/>
          </w:tcPr>
          <w:p>
            <w:pPr>
              <w:widowControl/>
              <w:spacing w:line="240" w:lineRule="exact"/>
              <w:rPr>
                <w:rFonts w:ascii="方正书宋_GBK" w:eastAsia="方正书宋_GBK"/>
              </w:rPr>
            </w:pPr>
            <w:r>
              <w:rPr>
                <w:rFonts w:hint="eastAsia" w:eastAsia="仿宋_GB2312"/>
                <w:kern w:val="0"/>
                <w:szCs w:val="21"/>
              </w:rPr>
              <w:t>覆盖率为95%以上得满分，每降低5%，扣指标分值的5%，覆盖率低于70%得0分。</w:t>
            </w:r>
          </w:p>
        </w:tc>
        <w:tc>
          <w:tcPr>
            <w:tcW w:w="1288"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宣传全民参保政策覆盖全县应参保人群的比率</w:t>
            </w:r>
          </w:p>
        </w:tc>
        <w:tc>
          <w:tcPr>
            <w:tcW w:w="409" w:type="dxa"/>
            <w:tcBorders>
              <w:tl2br w:val="nil"/>
              <w:tr2bl w:val="nil"/>
            </w:tcBorders>
            <w:vAlign w:val="center"/>
          </w:tcPr>
          <w:p>
            <w:pPr>
              <w:widowControl/>
              <w:spacing w:line="240" w:lineRule="exact"/>
              <w:jc w:val="center"/>
              <w:rPr>
                <w:rFonts w:ascii="方正书宋_GBK" w:eastAsia="方正书宋_GBK"/>
              </w:rPr>
            </w:pPr>
            <w:r>
              <w:rPr>
                <w:rFonts w:hint="eastAsia" w:ascii="仿宋_GB2312" w:hAnsi="宋体" w:eastAsia="仿宋_GB2312" w:cs="仿宋_GB2312"/>
                <w:kern w:val="0"/>
                <w:szCs w:val="21"/>
              </w:rPr>
              <w:t>≥</w:t>
            </w:r>
          </w:p>
        </w:tc>
        <w:tc>
          <w:tcPr>
            <w:tcW w:w="34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95</w:t>
            </w:r>
          </w:p>
        </w:tc>
        <w:tc>
          <w:tcPr>
            <w:tcW w:w="802"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w:t>
            </w:r>
          </w:p>
        </w:tc>
        <w:tc>
          <w:tcPr>
            <w:tcW w:w="327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冀医保字〔2020〕49号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7" w:type="dxa"/>
            <w:vMerge w:val="continue"/>
            <w:tcBorders>
              <w:tl2br w:val="nil"/>
              <w:tr2bl w:val="nil"/>
            </w:tcBorders>
            <w:vAlign w:val="center"/>
          </w:tcPr>
          <w:p/>
        </w:tc>
        <w:tc>
          <w:tcPr>
            <w:tcW w:w="736"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61" w:type="dxa"/>
            <w:tcBorders>
              <w:tl2br w:val="nil"/>
              <w:tr2bl w:val="nil"/>
            </w:tcBorders>
            <w:vAlign w:val="center"/>
          </w:tcPr>
          <w:p>
            <w:pPr>
              <w:widowControl/>
              <w:spacing w:line="240" w:lineRule="exact"/>
              <w:jc w:val="center"/>
              <w:rPr>
                <w:rFonts w:ascii="方正书宋_GBK" w:eastAsia="方正书宋_GBK"/>
              </w:rPr>
            </w:pPr>
            <w:r>
              <w:rPr>
                <w:rFonts w:hint="eastAsia"/>
              </w:rPr>
              <w:t>虚报参保人数</w:t>
            </w:r>
          </w:p>
        </w:tc>
        <w:tc>
          <w:tcPr>
            <w:tcW w:w="2646" w:type="dxa"/>
            <w:tcBorders>
              <w:tl2br w:val="nil"/>
              <w:tr2bl w:val="nil"/>
            </w:tcBorders>
            <w:vAlign w:val="center"/>
          </w:tcPr>
          <w:p>
            <w:pPr>
              <w:widowControl/>
              <w:spacing w:line="240" w:lineRule="exact"/>
              <w:rPr>
                <w:rFonts w:ascii="方正书宋_GBK" w:eastAsia="方正书宋_GBK"/>
              </w:rPr>
            </w:pPr>
            <w:r>
              <w:rPr>
                <w:rFonts w:hint="eastAsia"/>
              </w:rPr>
              <w:t>存在1人虚报，不得分</w:t>
            </w:r>
          </w:p>
        </w:tc>
        <w:tc>
          <w:tcPr>
            <w:tcW w:w="1288" w:type="dxa"/>
            <w:tcBorders>
              <w:tl2br w:val="nil"/>
              <w:tr2bl w:val="nil"/>
            </w:tcBorders>
            <w:vAlign w:val="center"/>
          </w:tcPr>
          <w:p>
            <w:pPr>
              <w:widowControl/>
              <w:spacing w:line="240" w:lineRule="exact"/>
              <w:jc w:val="center"/>
              <w:rPr>
                <w:rFonts w:ascii="方正书宋_GBK" w:eastAsia="方正书宋_GBK"/>
              </w:rPr>
            </w:pPr>
            <w:r>
              <w:rPr>
                <w:rFonts w:hint="eastAsia"/>
              </w:rPr>
              <w:t>虚报参保人数</w:t>
            </w:r>
          </w:p>
        </w:tc>
        <w:tc>
          <w:tcPr>
            <w:tcW w:w="409"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w:t>
            </w:r>
          </w:p>
        </w:tc>
        <w:tc>
          <w:tcPr>
            <w:tcW w:w="34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0</w:t>
            </w:r>
          </w:p>
        </w:tc>
        <w:tc>
          <w:tcPr>
            <w:tcW w:w="802"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人</w:t>
            </w:r>
          </w:p>
        </w:tc>
        <w:tc>
          <w:tcPr>
            <w:tcW w:w="327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根据实际情况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77" w:type="dxa"/>
            <w:vMerge w:val="continue"/>
            <w:tcBorders>
              <w:tl2br w:val="nil"/>
              <w:tr2bl w:val="nil"/>
            </w:tcBorders>
            <w:vAlign w:val="center"/>
          </w:tcPr>
          <w:p/>
        </w:tc>
        <w:tc>
          <w:tcPr>
            <w:tcW w:w="736"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361"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补助发放及时率</w:t>
            </w:r>
          </w:p>
        </w:tc>
        <w:tc>
          <w:tcPr>
            <w:tcW w:w="2646" w:type="dxa"/>
            <w:tcBorders>
              <w:tl2br w:val="nil"/>
              <w:tr2bl w:val="nil"/>
            </w:tcBorders>
            <w:vAlign w:val="center"/>
          </w:tcPr>
          <w:p>
            <w:pPr>
              <w:widowControl/>
              <w:spacing w:line="240" w:lineRule="exact"/>
              <w:rPr>
                <w:rFonts w:ascii="方正书宋_GBK" w:eastAsia="方正书宋_GBK"/>
              </w:rPr>
            </w:pPr>
            <w:r>
              <w:rPr>
                <w:rFonts w:hint="eastAsia" w:eastAsia="仿宋_GB2312"/>
                <w:kern w:val="0"/>
                <w:szCs w:val="21"/>
              </w:rPr>
              <w:t>每延迟发放一天，扣时效分10%，延迟30天不得分</w:t>
            </w:r>
          </w:p>
        </w:tc>
        <w:tc>
          <w:tcPr>
            <w:tcW w:w="1288"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补助发放及时率</w:t>
            </w:r>
          </w:p>
        </w:tc>
        <w:tc>
          <w:tcPr>
            <w:tcW w:w="409"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w:t>
            </w:r>
          </w:p>
        </w:tc>
        <w:tc>
          <w:tcPr>
            <w:tcW w:w="34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3</w:t>
            </w:r>
          </w:p>
        </w:tc>
        <w:tc>
          <w:tcPr>
            <w:tcW w:w="802"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个月</w:t>
            </w:r>
          </w:p>
        </w:tc>
        <w:tc>
          <w:tcPr>
            <w:tcW w:w="3273"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eastAsia="仿宋_GB2312"/>
                <w:kern w:val="0"/>
                <w:szCs w:val="21"/>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77" w:type="dxa"/>
            <w:vMerge w:val="continue"/>
            <w:tcBorders>
              <w:tl2br w:val="nil"/>
              <w:tr2bl w:val="nil"/>
            </w:tcBorders>
            <w:vAlign w:val="center"/>
          </w:tcPr>
          <w:p/>
        </w:tc>
        <w:tc>
          <w:tcPr>
            <w:tcW w:w="736"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61"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及时拨付，确保医保报销平稳运行</w:t>
            </w:r>
          </w:p>
        </w:tc>
        <w:tc>
          <w:tcPr>
            <w:tcW w:w="2646" w:type="dxa"/>
            <w:tcBorders>
              <w:tl2br w:val="nil"/>
              <w:tr2bl w:val="nil"/>
            </w:tcBorders>
            <w:vAlign w:val="center"/>
          </w:tcPr>
          <w:p>
            <w:pPr>
              <w:widowControl/>
              <w:spacing w:line="240" w:lineRule="exact"/>
              <w:rPr>
                <w:rFonts w:ascii="方正书宋_GBK" w:eastAsia="方正书宋_GBK"/>
              </w:rPr>
            </w:pPr>
            <w:r>
              <w:rPr>
                <w:rFonts w:hint="eastAsia" w:eastAsia="仿宋_GB2312"/>
                <w:kern w:val="0"/>
                <w:szCs w:val="21"/>
              </w:rPr>
              <w:t>每延期一个月减时效分值1%，延期超过50%得0分</w:t>
            </w:r>
          </w:p>
        </w:tc>
        <w:tc>
          <w:tcPr>
            <w:tcW w:w="1288"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及时拨付，确保医保报销平稳运行</w:t>
            </w:r>
          </w:p>
        </w:tc>
        <w:tc>
          <w:tcPr>
            <w:tcW w:w="409"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w:t>
            </w:r>
          </w:p>
        </w:tc>
        <w:tc>
          <w:tcPr>
            <w:tcW w:w="34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12</w:t>
            </w:r>
          </w:p>
        </w:tc>
        <w:tc>
          <w:tcPr>
            <w:tcW w:w="802"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个月</w:t>
            </w:r>
          </w:p>
        </w:tc>
        <w:tc>
          <w:tcPr>
            <w:tcW w:w="3273"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eastAsia="仿宋_GB2312"/>
                <w:kern w:val="0"/>
                <w:szCs w:val="21"/>
              </w:rPr>
              <w:t>2021年拨付时间为11月底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7" w:type="dxa"/>
            <w:vMerge w:val="continue"/>
            <w:tcBorders>
              <w:tl2br w:val="nil"/>
              <w:tr2bl w:val="nil"/>
            </w:tcBorders>
            <w:vAlign w:val="center"/>
          </w:tcPr>
          <w:p/>
        </w:tc>
        <w:tc>
          <w:tcPr>
            <w:tcW w:w="736"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361" w:type="dxa"/>
            <w:tcBorders>
              <w:tl2br w:val="nil"/>
              <w:tr2bl w:val="nil"/>
            </w:tcBorders>
            <w:vAlign w:val="center"/>
          </w:tcPr>
          <w:p>
            <w:pPr>
              <w:spacing w:line="240" w:lineRule="exact"/>
              <w:rPr>
                <w:rFonts w:ascii="方正书宋_GBK" w:eastAsia="方正书宋_GBK"/>
              </w:rPr>
            </w:pPr>
            <w:r>
              <w:rPr>
                <w:rFonts w:hint="eastAsia" w:eastAsia="仿宋_GB2312"/>
                <w:kern w:val="0"/>
                <w:szCs w:val="21"/>
              </w:rPr>
              <w:t>本年度实际支出的公用经费总额小于预算安排的公经费用经费总额。反映和考核对运转成本的实际控制程度</w:t>
            </w:r>
          </w:p>
        </w:tc>
        <w:tc>
          <w:tcPr>
            <w:tcW w:w="2646" w:type="dxa"/>
            <w:tcBorders>
              <w:tl2br w:val="nil"/>
              <w:tr2bl w:val="nil"/>
            </w:tcBorders>
            <w:vAlign w:val="center"/>
          </w:tcPr>
          <w:p>
            <w:pPr>
              <w:widowControl/>
              <w:adjustRightInd w:val="0"/>
              <w:snapToGrid w:val="0"/>
              <w:spacing w:line="240" w:lineRule="exact"/>
              <w:rPr>
                <w:rFonts w:ascii="方正书宋_GBK" w:eastAsia="方正书宋_GBK"/>
              </w:rPr>
            </w:pPr>
            <w:r>
              <w:rPr>
                <w:rFonts w:hint="eastAsia" w:eastAsia="仿宋_GB2312"/>
                <w:kern w:val="0"/>
                <w:szCs w:val="21"/>
              </w:rPr>
              <w:t>日常公用经费决算数≤日常公用经费调整预算数，即得分，否则不得分</w:t>
            </w:r>
          </w:p>
        </w:tc>
        <w:tc>
          <w:tcPr>
            <w:tcW w:w="1288" w:type="dxa"/>
            <w:tcBorders>
              <w:tl2br w:val="nil"/>
              <w:tr2bl w:val="nil"/>
            </w:tcBorders>
            <w:vAlign w:val="center"/>
          </w:tcPr>
          <w:p>
            <w:pPr>
              <w:spacing w:line="240" w:lineRule="exact"/>
              <w:rPr>
                <w:rFonts w:ascii="方正书宋_GBK" w:eastAsia="方正书宋_GBK"/>
              </w:rPr>
            </w:pPr>
            <w:r>
              <w:rPr>
                <w:rFonts w:hint="eastAsia" w:eastAsia="仿宋_GB2312"/>
                <w:kern w:val="0"/>
                <w:szCs w:val="21"/>
              </w:rPr>
              <w:t>本年度实际支出的公用经费总额小于预算安排的公经费用经费总额。反映和考核对运转成本的实际控制程度</w:t>
            </w:r>
          </w:p>
        </w:tc>
        <w:tc>
          <w:tcPr>
            <w:tcW w:w="409"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eastAsia="仿宋_GB2312"/>
                <w:kern w:val="0"/>
                <w:szCs w:val="21"/>
              </w:rPr>
              <w:t>≤</w:t>
            </w:r>
          </w:p>
        </w:tc>
        <w:tc>
          <w:tcPr>
            <w:tcW w:w="343"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eastAsia="仿宋_GB2312"/>
                <w:kern w:val="0"/>
                <w:szCs w:val="21"/>
              </w:rPr>
              <w:t>0</w:t>
            </w:r>
          </w:p>
        </w:tc>
        <w:tc>
          <w:tcPr>
            <w:tcW w:w="802"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eastAsia="仿宋_GB2312"/>
                <w:kern w:val="0"/>
                <w:szCs w:val="21"/>
              </w:rPr>
              <w:t>%</w:t>
            </w:r>
          </w:p>
        </w:tc>
        <w:tc>
          <w:tcPr>
            <w:tcW w:w="3273"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eastAsia="仿宋_GB2312"/>
                <w:kern w:val="0"/>
                <w:szCs w:val="21"/>
              </w:rPr>
              <w:t>决算报告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7" w:type="dxa"/>
            <w:tcBorders>
              <w:tl2br w:val="nil"/>
              <w:tr2bl w:val="nil"/>
            </w:tcBorders>
            <w:vAlign w:val="center"/>
          </w:tcPr>
          <w:p/>
        </w:tc>
        <w:tc>
          <w:tcPr>
            <w:tcW w:w="736"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61" w:type="dxa"/>
            <w:tcBorders>
              <w:tl2br w:val="nil"/>
              <w:tr2bl w:val="nil"/>
            </w:tcBorders>
            <w:vAlign w:val="center"/>
          </w:tcPr>
          <w:p>
            <w:pPr>
              <w:widowControl/>
              <w:adjustRightInd w:val="0"/>
              <w:snapToGrid w:val="0"/>
              <w:spacing w:line="240" w:lineRule="exact"/>
              <w:rPr>
                <w:rFonts w:ascii="方正书宋_GBK" w:eastAsia="方正书宋_GBK"/>
              </w:rPr>
            </w:pPr>
            <w:r>
              <w:rPr>
                <w:rFonts w:hint="eastAsia" w:eastAsia="仿宋_GB2312"/>
                <w:kern w:val="0"/>
                <w:szCs w:val="21"/>
              </w:rPr>
              <w:t>财政补助标准</w:t>
            </w:r>
          </w:p>
        </w:tc>
        <w:tc>
          <w:tcPr>
            <w:tcW w:w="2646" w:type="dxa"/>
            <w:tcBorders>
              <w:tl2br w:val="nil"/>
              <w:tr2bl w:val="nil"/>
            </w:tcBorders>
            <w:vAlign w:val="center"/>
          </w:tcPr>
          <w:p>
            <w:pPr>
              <w:widowControl/>
              <w:adjustRightInd w:val="0"/>
              <w:snapToGrid w:val="0"/>
              <w:spacing w:line="240" w:lineRule="exact"/>
              <w:rPr>
                <w:rFonts w:ascii="方正书宋_GBK" w:eastAsia="方正书宋_GBK"/>
              </w:rPr>
            </w:pPr>
            <w:r>
              <w:rPr>
                <w:rFonts w:hint="eastAsia" w:eastAsia="仿宋_GB2312"/>
                <w:kern w:val="0"/>
                <w:szCs w:val="21"/>
              </w:rPr>
              <w:t>单位成本每增加10元，减成本分10%</w:t>
            </w:r>
          </w:p>
        </w:tc>
        <w:tc>
          <w:tcPr>
            <w:tcW w:w="1288" w:type="dxa"/>
            <w:tcBorders>
              <w:tl2br w:val="nil"/>
              <w:tr2bl w:val="nil"/>
            </w:tcBorders>
            <w:vAlign w:val="center"/>
          </w:tcPr>
          <w:p>
            <w:pPr>
              <w:widowControl/>
              <w:adjustRightInd w:val="0"/>
              <w:snapToGrid w:val="0"/>
              <w:spacing w:line="240" w:lineRule="exact"/>
              <w:rPr>
                <w:rFonts w:ascii="方正书宋_GBK" w:eastAsia="方正书宋_GBK"/>
              </w:rPr>
            </w:pPr>
            <w:r>
              <w:rPr>
                <w:rFonts w:hint="eastAsia" w:eastAsia="仿宋_GB2312"/>
                <w:kern w:val="0"/>
                <w:szCs w:val="21"/>
              </w:rPr>
              <w:t>财政补助标准</w:t>
            </w:r>
          </w:p>
        </w:tc>
        <w:tc>
          <w:tcPr>
            <w:tcW w:w="409"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eastAsia="仿宋_GB2312"/>
                <w:kern w:val="0"/>
                <w:szCs w:val="21"/>
              </w:rPr>
              <w:t>≤</w:t>
            </w:r>
          </w:p>
        </w:tc>
        <w:tc>
          <w:tcPr>
            <w:tcW w:w="343"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eastAsia="仿宋_GB2312"/>
                <w:kern w:val="0"/>
                <w:szCs w:val="21"/>
              </w:rPr>
              <w:t>640</w:t>
            </w:r>
          </w:p>
        </w:tc>
        <w:tc>
          <w:tcPr>
            <w:tcW w:w="802"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eastAsia="仿宋_GB2312"/>
                <w:kern w:val="0"/>
                <w:szCs w:val="21"/>
              </w:rPr>
              <w:t>元</w:t>
            </w:r>
          </w:p>
        </w:tc>
        <w:tc>
          <w:tcPr>
            <w:tcW w:w="3273"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eastAsia="仿宋_GB2312"/>
                <w:kern w:val="0"/>
                <w:szCs w:val="21"/>
              </w:rPr>
              <w:t>廊医保字（2021）40号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36"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361"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参保人群基本医疗保障覆盖率</w:t>
            </w:r>
          </w:p>
        </w:tc>
        <w:tc>
          <w:tcPr>
            <w:tcW w:w="2646"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增加得满分，未增加不得分</w:t>
            </w:r>
          </w:p>
        </w:tc>
        <w:tc>
          <w:tcPr>
            <w:tcW w:w="1288"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参保人群基本医疗保障覆盖率</w:t>
            </w:r>
          </w:p>
        </w:tc>
        <w:tc>
          <w:tcPr>
            <w:tcW w:w="409" w:type="dxa"/>
            <w:tcBorders>
              <w:tl2br w:val="nil"/>
              <w:tr2bl w:val="nil"/>
            </w:tcBorders>
            <w:vAlign w:val="center"/>
          </w:tcPr>
          <w:p>
            <w:pPr>
              <w:widowControl/>
              <w:spacing w:line="240" w:lineRule="exact"/>
              <w:jc w:val="center"/>
              <w:rPr>
                <w:rFonts w:ascii="方正书宋_GBK" w:eastAsia="方正书宋_GBK"/>
              </w:rPr>
            </w:pPr>
          </w:p>
        </w:tc>
        <w:tc>
          <w:tcPr>
            <w:tcW w:w="34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增加</w:t>
            </w:r>
          </w:p>
        </w:tc>
        <w:tc>
          <w:tcPr>
            <w:tcW w:w="802" w:type="dxa"/>
            <w:tcBorders>
              <w:tl2br w:val="nil"/>
              <w:tr2bl w:val="nil"/>
            </w:tcBorders>
            <w:vAlign w:val="center"/>
          </w:tcPr>
          <w:p>
            <w:pPr>
              <w:widowControl/>
              <w:spacing w:line="240" w:lineRule="exact"/>
              <w:jc w:val="center"/>
              <w:rPr>
                <w:rFonts w:ascii="方正书宋_GBK" w:eastAsia="方正书宋_GBK"/>
              </w:rPr>
            </w:pPr>
          </w:p>
        </w:tc>
        <w:tc>
          <w:tcPr>
            <w:tcW w:w="327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7" w:type="dxa"/>
            <w:vMerge w:val="continue"/>
            <w:tcBorders>
              <w:tl2br w:val="nil"/>
              <w:tr2bl w:val="nil"/>
            </w:tcBorders>
            <w:vAlign w:val="center"/>
          </w:tcPr>
          <w:p>
            <w:pPr>
              <w:adjustRightInd w:val="0"/>
              <w:snapToGrid w:val="0"/>
              <w:jc w:val="center"/>
              <w:rPr>
                <w:rFonts w:ascii="方正书宋_GBK" w:eastAsia="方正书宋_GBK"/>
              </w:rPr>
            </w:pPr>
          </w:p>
        </w:tc>
        <w:tc>
          <w:tcPr>
            <w:tcW w:w="736"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61"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基金安全保障率</w:t>
            </w:r>
          </w:p>
        </w:tc>
        <w:tc>
          <w:tcPr>
            <w:tcW w:w="2646"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保障率每降低5%，扣效益分20%。</w:t>
            </w:r>
          </w:p>
        </w:tc>
        <w:tc>
          <w:tcPr>
            <w:tcW w:w="1288"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基金安全保障率</w:t>
            </w:r>
          </w:p>
        </w:tc>
        <w:tc>
          <w:tcPr>
            <w:tcW w:w="409"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w:t>
            </w:r>
          </w:p>
        </w:tc>
        <w:tc>
          <w:tcPr>
            <w:tcW w:w="34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100</w:t>
            </w:r>
          </w:p>
        </w:tc>
        <w:tc>
          <w:tcPr>
            <w:tcW w:w="802"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w:t>
            </w:r>
          </w:p>
        </w:tc>
        <w:tc>
          <w:tcPr>
            <w:tcW w:w="327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根据实际情况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7" w:type="dxa"/>
            <w:vMerge w:val="continue"/>
            <w:tcBorders>
              <w:tl2br w:val="nil"/>
              <w:tr2bl w:val="nil"/>
            </w:tcBorders>
            <w:vAlign w:val="center"/>
          </w:tcPr>
          <w:p>
            <w:pPr>
              <w:adjustRightInd w:val="0"/>
              <w:snapToGrid w:val="0"/>
              <w:jc w:val="center"/>
              <w:rPr>
                <w:rFonts w:ascii="方正书宋_GBK" w:eastAsia="方正书宋_GBK"/>
              </w:rPr>
            </w:pPr>
          </w:p>
        </w:tc>
        <w:tc>
          <w:tcPr>
            <w:tcW w:w="736"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61" w:type="dxa"/>
            <w:tcBorders>
              <w:tl2br w:val="nil"/>
              <w:tr2bl w:val="nil"/>
            </w:tcBorders>
            <w:vAlign w:val="center"/>
          </w:tcPr>
          <w:p>
            <w:pPr>
              <w:widowControl/>
              <w:spacing w:line="240" w:lineRule="exact"/>
              <w:jc w:val="center"/>
              <w:rPr>
                <w:rFonts w:ascii="方正书宋_GBK" w:eastAsia="方正书宋_GBK"/>
              </w:rPr>
            </w:pPr>
            <w:r>
              <w:rPr>
                <w:rFonts w:hint="eastAsia"/>
              </w:rPr>
              <w:t>因病返贫人数</w:t>
            </w:r>
          </w:p>
        </w:tc>
        <w:tc>
          <w:tcPr>
            <w:tcW w:w="2646"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人数每增加1人，不得分</w:t>
            </w:r>
          </w:p>
        </w:tc>
        <w:tc>
          <w:tcPr>
            <w:tcW w:w="1288" w:type="dxa"/>
            <w:tcBorders>
              <w:tl2br w:val="nil"/>
              <w:tr2bl w:val="nil"/>
            </w:tcBorders>
            <w:vAlign w:val="center"/>
          </w:tcPr>
          <w:p>
            <w:pPr>
              <w:widowControl/>
              <w:spacing w:line="240" w:lineRule="exact"/>
              <w:jc w:val="center"/>
              <w:rPr>
                <w:rFonts w:ascii="方正书宋_GBK" w:eastAsia="方正书宋_GBK"/>
              </w:rPr>
            </w:pPr>
            <w:r>
              <w:rPr>
                <w:rFonts w:hint="eastAsia"/>
              </w:rPr>
              <w:t>因病返贫人数</w:t>
            </w:r>
          </w:p>
        </w:tc>
        <w:tc>
          <w:tcPr>
            <w:tcW w:w="409"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w:t>
            </w:r>
          </w:p>
        </w:tc>
        <w:tc>
          <w:tcPr>
            <w:tcW w:w="34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0</w:t>
            </w:r>
          </w:p>
        </w:tc>
        <w:tc>
          <w:tcPr>
            <w:tcW w:w="802"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人</w:t>
            </w:r>
          </w:p>
        </w:tc>
        <w:tc>
          <w:tcPr>
            <w:tcW w:w="327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2022年实际情况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7" w:type="dxa"/>
            <w:vMerge w:val="continue"/>
            <w:tcBorders>
              <w:tl2br w:val="nil"/>
              <w:tr2bl w:val="nil"/>
            </w:tcBorders>
            <w:vAlign w:val="center"/>
          </w:tcPr>
          <w:p/>
        </w:tc>
        <w:tc>
          <w:tcPr>
            <w:tcW w:w="73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61" w:type="dxa"/>
            <w:tcBorders>
              <w:tl2br w:val="nil"/>
              <w:tr2bl w:val="nil"/>
            </w:tcBorders>
            <w:vAlign w:val="center"/>
          </w:tcPr>
          <w:p>
            <w:pPr>
              <w:widowControl/>
              <w:adjustRightInd w:val="0"/>
              <w:snapToGrid w:val="0"/>
              <w:rPr>
                <w:rFonts w:ascii="方正书宋_GBK" w:eastAsia="方正书宋_GBK"/>
              </w:rPr>
            </w:pPr>
          </w:p>
        </w:tc>
        <w:tc>
          <w:tcPr>
            <w:tcW w:w="2646" w:type="dxa"/>
            <w:tcBorders>
              <w:tl2br w:val="nil"/>
              <w:tr2bl w:val="nil"/>
            </w:tcBorders>
            <w:vAlign w:val="center"/>
          </w:tcPr>
          <w:p>
            <w:pPr>
              <w:widowControl/>
              <w:adjustRightInd w:val="0"/>
              <w:snapToGrid w:val="0"/>
              <w:rPr>
                <w:rFonts w:ascii="方正书宋_GBK" w:eastAsia="方正书宋_GBK"/>
              </w:rPr>
            </w:pPr>
          </w:p>
        </w:tc>
        <w:tc>
          <w:tcPr>
            <w:tcW w:w="1288" w:type="dxa"/>
            <w:tcBorders>
              <w:tl2br w:val="nil"/>
              <w:tr2bl w:val="nil"/>
            </w:tcBorders>
            <w:vAlign w:val="center"/>
          </w:tcPr>
          <w:p>
            <w:pPr>
              <w:widowControl/>
              <w:adjustRightInd w:val="0"/>
              <w:snapToGrid w:val="0"/>
              <w:rPr>
                <w:rFonts w:ascii="方正书宋_GBK" w:eastAsia="方正书宋_GBK"/>
              </w:rPr>
            </w:pPr>
          </w:p>
        </w:tc>
        <w:tc>
          <w:tcPr>
            <w:tcW w:w="409" w:type="dxa"/>
            <w:tcBorders>
              <w:tl2br w:val="nil"/>
              <w:tr2bl w:val="nil"/>
            </w:tcBorders>
            <w:vAlign w:val="center"/>
          </w:tcPr>
          <w:p>
            <w:pPr>
              <w:widowControl/>
              <w:adjustRightInd w:val="0"/>
              <w:snapToGrid w:val="0"/>
              <w:rPr>
                <w:rFonts w:ascii="方正书宋_GBK" w:eastAsia="方正书宋_GBK"/>
              </w:rPr>
            </w:pPr>
          </w:p>
        </w:tc>
        <w:tc>
          <w:tcPr>
            <w:tcW w:w="343" w:type="dxa"/>
            <w:tcBorders>
              <w:tl2br w:val="nil"/>
              <w:tr2bl w:val="nil"/>
            </w:tcBorders>
            <w:vAlign w:val="center"/>
          </w:tcPr>
          <w:p>
            <w:pPr>
              <w:widowControl/>
              <w:adjustRightInd w:val="0"/>
              <w:snapToGrid w:val="0"/>
              <w:rPr>
                <w:rFonts w:ascii="方正书宋_GBK" w:eastAsia="方正书宋_GBK"/>
              </w:rPr>
            </w:pPr>
          </w:p>
        </w:tc>
        <w:tc>
          <w:tcPr>
            <w:tcW w:w="802" w:type="dxa"/>
            <w:tcBorders>
              <w:tl2br w:val="nil"/>
              <w:tr2bl w:val="nil"/>
            </w:tcBorders>
            <w:vAlign w:val="center"/>
          </w:tcPr>
          <w:p>
            <w:pPr>
              <w:widowControl/>
              <w:adjustRightInd w:val="0"/>
              <w:snapToGrid w:val="0"/>
              <w:rPr>
                <w:rFonts w:ascii="方正书宋_GBK" w:eastAsia="方正书宋_GBK"/>
              </w:rPr>
            </w:pPr>
          </w:p>
        </w:tc>
        <w:tc>
          <w:tcPr>
            <w:tcW w:w="3273"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7" w:type="dxa"/>
            <w:vMerge w:val="continue"/>
            <w:tcBorders>
              <w:tl2br w:val="nil"/>
              <w:tr2bl w:val="nil"/>
            </w:tcBorders>
            <w:vAlign w:val="center"/>
          </w:tcPr>
          <w:p/>
        </w:tc>
        <w:tc>
          <w:tcPr>
            <w:tcW w:w="73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61" w:type="dxa"/>
            <w:tcBorders>
              <w:tl2br w:val="nil"/>
              <w:tr2bl w:val="nil"/>
            </w:tcBorders>
            <w:vAlign w:val="center"/>
          </w:tcPr>
          <w:p>
            <w:pPr>
              <w:widowControl/>
              <w:adjustRightInd w:val="0"/>
              <w:snapToGrid w:val="0"/>
              <w:rPr>
                <w:rFonts w:ascii="方正书宋_GBK" w:eastAsia="方正书宋_GBK"/>
              </w:rPr>
            </w:pPr>
          </w:p>
        </w:tc>
        <w:tc>
          <w:tcPr>
            <w:tcW w:w="2646" w:type="dxa"/>
            <w:tcBorders>
              <w:tl2br w:val="nil"/>
              <w:tr2bl w:val="nil"/>
            </w:tcBorders>
            <w:vAlign w:val="center"/>
          </w:tcPr>
          <w:p>
            <w:pPr>
              <w:widowControl/>
              <w:adjustRightInd w:val="0"/>
              <w:snapToGrid w:val="0"/>
              <w:rPr>
                <w:rFonts w:ascii="方正书宋_GBK" w:eastAsia="方正书宋_GBK"/>
              </w:rPr>
            </w:pPr>
          </w:p>
        </w:tc>
        <w:tc>
          <w:tcPr>
            <w:tcW w:w="1288" w:type="dxa"/>
            <w:tcBorders>
              <w:tl2br w:val="nil"/>
              <w:tr2bl w:val="nil"/>
            </w:tcBorders>
            <w:vAlign w:val="center"/>
          </w:tcPr>
          <w:p>
            <w:pPr>
              <w:widowControl/>
              <w:adjustRightInd w:val="0"/>
              <w:snapToGrid w:val="0"/>
              <w:rPr>
                <w:rFonts w:ascii="方正书宋_GBK" w:eastAsia="方正书宋_GBK"/>
              </w:rPr>
            </w:pPr>
          </w:p>
        </w:tc>
        <w:tc>
          <w:tcPr>
            <w:tcW w:w="409" w:type="dxa"/>
            <w:tcBorders>
              <w:tl2br w:val="nil"/>
              <w:tr2bl w:val="nil"/>
            </w:tcBorders>
            <w:vAlign w:val="center"/>
          </w:tcPr>
          <w:p>
            <w:pPr>
              <w:widowControl/>
              <w:adjustRightInd w:val="0"/>
              <w:snapToGrid w:val="0"/>
              <w:rPr>
                <w:rFonts w:ascii="方正书宋_GBK" w:eastAsia="方正书宋_GBK"/>
              </w:rPr>
            </w:pPr>
          </w:p>
        </w:tc>
        <w:tc>
          <w:tcPr>
            <w:tcW w:w="343" w:type="dxa"/>
            <w:tcBorders>
              <w:tl2br w:val="nil"/>
              <w:tr2bl w:val="nil"/>
            </w:tcBorders>
            <w:vAlign w:val="center"/>
          </w:tcPr>
          <w:p>
            <w:pPr>
              <w:widowControl/>
              <w:adjustRightInd w:val="0"/>
              <w:snapToGrid w:val="0"/>
              <w:rPr>
                <w:rFonts w:ascii="方正书宋_GBK" w:eastAsia="方正书宋_GBK"/>
              </w:rPr>
            </w:pPr>
          </w:p>
        </w:tc>
        <w:tc>
          <w:tcPr>
            <w:tcW w:w="802" w:type="dxa"/>
            <w:tcBorders>
              <w:tl2br w:val="nil"/>
              <w:tr2bl w:val="nil"/>
            </w:tcBorders>
            <w:vAlign w:val="center"/>
          </w:tcPr>
          <w:p>
            <w:pPr>
              <w:widowControl/>
              <w:adjustRightInd w:val="0"/>
              <w:snapToGrid w:val="0"/>
              <w:rPr>
                <w:rFonts w:ascii="方正书宋_GBK" w:eastAsia="方正书宋_GBK"/>
              </w:rPr>
            </w:pPr>
          </w:p>
        </w:tc>
        <w:tc>
          <w:tcPr>
            <w:tcW w:w="3273"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77" w:type="dxa"/>
            <w:vMerge w:val="continue"/>
            <w:tcBorders>
              <w:tl2br w:val="nil"/>
              <w:tr2bl w:val="nil"/>
            </w:tcBorders>
            <w:vAlign w:val="center"/>
          </w:tcPr>
          <w:p/>
        </w:tc>
        <w:tc>
          <w:tcPr>
            <w:tcW w:w="736"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361" w:type="dxa"/>
            <w:tcBorders>
              <w:tl2br w:val="nil"/>
              <w:tr2bl w:val="nil"/>
            </w:tcBorders>
            <w:noWrap/>
            <w:vAlign w:val="center"/>
          </w:tcPr>
          <w:p>
            <w:pPr>
              <w:widowControl/>
              <w:adjustRightInd w:val="0"/>
              <w:snapToGrid w:val="0"/>
              <w:rPr>
                <w:rFonts w:ascii="方正书宋_GBK" w:eastAsia="方正书宋_GBK"/>
              </w:rPr>
            </w:pPr>
          </w:p>
        </w:tc>
        <w:tc>
          <w:tcPr>
            <w:tcW w:w="2646" w:type="dxa"/>
            <w:tcBorders>
              <w:tl2br w:val="nil"/>
              <w:tr2bl w:val="nil"/>
            </w:tcBorders>
            <w:noWrap/>
            <w:vAlign w:val="center"/>
          </w:tcPr>
          <w:p>
            <w:pPr>
              <w:widowControl/>
              <w:adjustRightInd w:val="0"/>
              <w:snapToGrid w:val="0"/>
              <w:rPr>
                <w:rFonts w:ascii="方正书宋_GBK" w:eastAsia="方正书宋_GBK"/>
              </w:rPr>
            </w:pPr>
          </w:p>
        </w:tc>
        <w:tc>
          <w:tcPr>
            <w:tcW w:w="1288" w:type="dxa"/>
            <w:tcBorders>
              <w:tl2br w:val="nil"/>
              <w:tr2bl w:val="nil"/>
            </w:tcBorders>
            <w:noWrap/>
            <w:vAlign w:val="center"/>
          </w:tcPr>
          <w:p>
            <w:pPr>
              <w:widowControl/>
              <w:adjustRightInd w:val="0"/>
              <w:snapToGrid w:val="0"/>
              <w:rPr>
                <w:rFonts w:ascii="方正书宋_GBK" w:eastAsia="方正书宋_GBK"/>
              </w:rPr>
            </w:pPr>
          </w:p>
        </w:tc>
        <w:tc>
          <w:tcPr>
            <w:tcW w:w="409" w:type="dxa"/>
            <w:tcBorders>
              <w:tl2br w:val="nil"/>
              <w:tr2bl w:val="nil"/>
            </w:tcBorders>
            <w:vAlign w:val="center"/>
          </w:tcPr>
          <w:p>
            <w:pPr>
              <w:widowControl/>
              <w:adjustRightInd w:val="0"/>
              <w:snapToGrid w:val="0"/>
              <w:jc w:val="center"/>
              <w:rPr>
                <w:rFonts w:ascii="方正书宋_GBK" w:eastAsia="方正书宋_GBK"/>
              </w:rPr>
            </w:pPr>
          </w:p>
        </w:tc>
        <w:tc>
          <w:tcPr>
            <w:tcW w:w="343" w:type="dxa"/>
            <w:tcBorders>
              <w:tl2br w:val="nil"/>
              <w:tr2bl w:val="nil"/>
            </w:tcBorders>
            <w:vAlign w:val="center"/>
          </w:tcPr>
          <w:p>
            <w:pPr>
              <w:widowControl/>
              <w:adjustRightInd w:val="0"/>
              <w:snapToGrid w:val="0"/>
              <w:jc w:val="center"/>
              <w:rPr>
                <w:rFonts w:ascii="方正书宋_GBK" w:eastAsia="方正书宋_GBK"/>
              </w:rPr>
            </w:pPr>
          </w:p>
        </w:tc>
        <w:tc>
          <w:tcPr>
            <w:tcW w:w="802" w:type="dxa"/>
            <w:tcBorders>
              <w:tl2br w:val="nil"/>
              <w:tr2bl w:val="nil"/>
            </w:tcBorders>
            <w:vAlign w:val="center"/>
          </w:tcPr>
          <w:p>
            <w:pPr>
              <w:widowControl/>
              <w:adjustRightInd w:val="0"/>
              <w:snapToGrid w:val="0"/>
              <w:jc w:val="center"/>
              <w:rPr>
                <w:rFonts w:ascii="方正书宋_GBK" w:eastAsia="方正书宋_GBK"/>
              </w:rPr>
            </w:pPr>
          </w:p>
        </w:tc>
        <w:tc>
          <w:tcPr>
            <w:tcW w:w="3273"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77" w:type="dxa"/>
            <w:vMerge w:val="continue"/>
            <w:tcBorders>
              <w:tl2br w:val="nil"/>
              <w:tr2bl w:val="nil"/>
            </w:tcBorders>
            <w:vAlign w:val="center"/>
          </w:tcPr>
          <w:p/>
        </w:tc>
        <w:tc>
          <w:tcPr>
            <w:tcW w:w="73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361" w:type="dxa"/>
            <w:tcBorders>
              <w:tl2br w:val="nil"/>
              <w:tr2bl w:val="nil"/>
            </w:tcBorders>
            <w:noWrap/>
            <w:vAlign w:val="center"/>
          </w:tcPr>
          <w:p>
            <w:pPr>
              <w:widowControl/>
              <w:adjustRightInd w:val="0"/>
              <w:snapToGrid w:val="0"/>
              <w:rPr>
                <w:rFonts w:ascii="方正书宋_GBK" w:eastAsia="方正书宋_GBK"/>
              </w:rPr>
            </w:pPr>
            <w:r>
              <w:rPr>
                <w:rFonts w:eastAsia="仿宋_GB2312"/>
                <w:kern w:val="0"/>
                <w:szCs w:val="21"/>
              </w:rPr>
              <w:t>考察服务对象满意度情况</w:t>
            </w:r>
          </w:p>
        </w:tc>
        <w:tc>
          <w:tcPr>
            <w:tcW w:w="2646" w:type="dxa"/>
            <w:tcBorders>
              <w:tl2br w:val="nil"/>
              <w:tr2bl w:val="nil"/>
            </w:tcBorders>
            <w:noWrap/>
            <w:vAlign w:val="center"/>
          </w:tcPr>
          <w:p>
            <w:pPr>
              <w:widowControl/>
              <w:adjustRightInd w:val="0"/>
              <w:snapToGrid w:val="0"/>
              <w:rPr>
                <w:rFonts w:ascii="方正书宋_GBK" w:eastAsia="方正书宋_GBK"/>
              </w:rPr>
            </w:pPr>
            <w:r>
              <w:rPr>
                <w:rFonts w:hint="eastAsia" w:eastAsia="仿宋_GB2312"/>
                <w:kern w:val="0"/>
                <w:szCs w:val="21"/>
              </w:rPr>
              <w:t>实际值达到目标值的80%-90%扣权重的10%，实际值达到目标值的70%-80%扣权重的20%，实际值低于目标值60%不得分</w:t>
            </w:r>
          </w:p>
        </w:tc>
        <w:tc>
          <w:tcPr>
            <w:tcW w:w="1288" w:type="dxa"/>
            <w:tcBorders>
              <w:tl2br w:val="nil"/>
              <w:tr2bl w:val="nil"/>
            </w:tcBorders>
            <w:noWrap/>
            <w:vAlign w:val="center"/>
          </w:tcPr>
          <w:p>
            <w:pPr>
              <w:widowControl/>
              <w:adjustRightInd w:val="0"/>
              <w:snapToGrid w:val="0"/>
              <w:rPr>
                <w:rFonts w:ascii="方正书宋_GBK" w:eastAsia="方正书宋_GBK"/>
              </w:rPr>
            </w:pPr>
            <w:r>
              <w:rPr>
                <w:rFonts w:eastAsia="仿宋_GB2312"/>
                <w:kern w:val="0"/>
                <w:szCs w:val="21"/>
              </w:rPr>
              <w:t>考察服务对象满意度情况</w:t>
            </w:r>
          </w:p>
        </w:tc>
        <w:tc>
          <w:tcPr>
            <w:tcW w:w="409" w:type="dxa"/>
            <w:tcBorders>
              <w:tl2br w:val="nil"/>
              <w:tr2bl w:val="nil"/>
            </w:tcBorders>
            <w:vAlign w:val="center"/>
          </w:tcPr>
          <w:p>
            <w:pPr>
              <w:widowControl/>
              <w:spacing w:line="240" w:lineRule="exact"/>
              <w:jc w:val="center"/>
              <w:rPr>
                <w:rFonts w:ascii="方正书宋_GBK" w:eastAsia="方正书宋_GBK"/>
              </w:rPr>
            </w:pPr>
            <w:r>
              <w:rPr>
                <w:rFonts w:eastAsia="仿宋_GB2312"/>
                <w:kern w:val="0"/>
                <w:szCs w:val="21"/>
              </w:rPr>
              <w:t>≥</w:t>
            </w:r>
          </w:p>
        </w:tc>
        <w:tc>
          <w:tcPr>
            <w:tcW w:w="343" w:type="dxa"/>
            <w:tcBorders>
              <w:tl2br w:val="nil"/>
              <w:tr2bl w:val="nil"/>
            </w:tcBorders>
            <w:vAlign w:val="center"/>
          </w:tcPr>
          <w:p>
            <w:pPr>
              <w:widowControl/>
              <w:spacing w:line="240" w:lineRule="exact"/>
              <w:jc w:val="center"/>
              <w:rPr>
                <w:rFonts w:ascii="方正书宋_GBK" w:eastAsia="方正书宋_GBK"/>
              </w:rPr>
            </w:pPr>
            <w:r>
              <w:rPr>
                <w:rFonts w:hint="eastAsia" w:eastAsia="仿宋_GB2312"/>
                <w:kern w:val="0"/>
                <w:szCs w:val="21"/>
              </w:rPr>
              <w:t>90</w:t>
            </w:r>
          </w:p>
        </w:tc>
        <w:tc>
          <w:tcPr>
            <w:tcW w:w="802" w:type="dxa"/>
            <w:tcBorders>
              <w:tl2br w:val="nil"/>
              <w:tr2bl w:val="nil"/>
            </w:tcBorders>
            <w:vAlign w:val="center"/>
          </w:tcPr>
          <w:p>
            <w:pPr>
              <w:widowControl/>
              <w:spacing w:line="240" w:lineRule="exact"/>
              <w:jc w:val="center"/>
              <w:rPr>
                <w:rFonts w:ascii="方正书宋_GBK" w:eastAsia="方正书宋_GBK"/>
              </w:rPr>
            </w:pPr>
            <w:r>
              <w:rPr>
                <w:rFonts w:eastAsia="仿宋_GB2312"/>
                <w:kern w:val="0"/>
                <w:szCs w:val="21"/>
              </w:rPr>
              <w:t>%</w:t>
            </w:r>
          </w:p>
        </w:tc>
        <w:tc>
          <w:tcPr>
            <w:tcW w:w="3273" w:type="dxa"/>
            <w:tcBorders>
              <w:tl2br w:val="nil"/>
              <w:tr2bl w:val="nil"/>
            </w:tcBorders>
            <w:vAlign w:val="center"/>
          </w:tcPr>
          <w:p>
            <w:pPr>
              <w:widowControl/>
              <w:spacing w:line="240" w:lineRule="exact"/>
              <w:jc w:val="center"/>
              <w:rPr>
                <w:rFonts w:ascii="方正书宋_GBK" w:eastAsia="方正书宋_GBK"/>
              </w:rPr>
            </w:pPr>
            <w:r>
              <w:rPr>
                <w:rFonts w:eastAsia="仿宋_GB2312"/>
                <w:kern w:val="0"/>
                <w:szCs w:val="21"/>
              </w:rPr>
              <w:t>调查问卷</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9"/>
        <w:rPr>
          <w:rFonts w:ascii="仿宋" w:hAnsi="仿宋" w:eastAsia="仿宋" w:cs="Times New Roman"/>
          <w:sz w:val="28"/>
        </w:rPr>
      </w:pPr>
    </w:p>
    <w:p>
      <w:pPr>
        <w:numPr>
          <w:ilvl w:val="0"/>
          <w:numId w:val="0"/>
        </w:numPr>
        <w:spacing w:before="0" w:after="0"/>
        <w:ind w:firstLine="280" w:firstLineChars="100"/>
        <w:jc w:val="left"/>
        <w:outlineLvl w:val="9"/>
        <w:rPr>
          <w:rFonts w:ascii="仿宋" w:hAnsi="仿宋" w:eastAsia="仿宋" w:cs="Times New Roman"/>
          <w:sz w:val="28"/>
        </w:rPr>
      </w:pPr>
      <w:bookmarkStart w:id="0" w:name="_Toc29799657"/>
      <w:bookmarkEnd w:id="0"/>
      <w:r>
        <w:rPr>
          <w:rFonts w:hint="eastAsia" w:ascii="仿宋" w:hAnsi="仿宋" w:eastAsia="仿宋" w:cs="Times New Roman"/>
          <w:sz w:val="28"/>
          <w:lang w:val="en-US" w:eastAsia="zh-CN"/>
        </w:rPr>
        <w:t>1.</w:t>
      </w:r>
      <w:r>
        <w:rPr>
          <w:rFonts w:ascii="仿宋" w:hAnsi="仿宋" w:eastAsia="仿宋" w:cs="Times New Roman"/>
          <w:sz w:val="28"/>
        </w:rPr>
        <w:t>打击欺诈骗保专项工作经费绩效目标表</w:t>
      </w:r>
    </w:p>
    <w:tbl>
      <w:tblPr>
        <w:tblStyle w:val="8"/>
        <w:tblpPr w:leftFromText="180" w:rightFromText="180" w:vertAnchor="text" w:horzAnchor="page" w:tblpX="1318" w:tblpY="618"/>
        <w:tblOverlap w:val="never"/>
        <w:tblW w:w="14798" w:type="dxa"/>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773"/>
        <w:gridCol w:w="802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804" w:hRule="atLeast"/>
        </w:trPr>
        <w:tc>
          <w:tcPr>
            <w:tcW w:w="6773" w:type="dxa"/>
            <w:tcBorders>
              <w:bottom w:val="single" w:color="FFFFFF" w:sz="6" w:space="0"/>
            </w:tcBorders>
            <w:vAlign w:val="center"/>
          </w:tcPr>
          <w:p>
            <w:pPr>
              <w:pStyle w:val="12"/>
            </w:pPr>
            <w:r>
              <w:t>绩效目标</w:t>
            </w:r>
          </w:p>
        </w:tc>
        <w:tc>
          <w:tcPr>
            <w:tcW w:w="8025" w:type="dxa"/>
            <w:tcBorders>
              <w:bottom w:val="single" w:color="FFFFFF" w:sz="6" w:space="0"/>
            </w:tcBorders>
            <w:vAlign w:val="center"/>
          </w:tcPr>
          <w:p>
            <w:pPr>
              <w:pStyle w:val="13"/>
            </w:pPr>
            <w:r>
              <w:t>1.通过开展打击欺诈骗保专项工作，提高参保群众和定点医疗机构对医保法律法规的知晓率。</w:t>
            </w:r>
          </w:p>
        </w:tc>
      </w:tr>
    </w:tbl>
    <w:tbl>
      <w:tblPr>
        <w:tblStyle w:val="8"/>
        <w:tblpPr w:leftFromText="180" w:rightFromText="180" w:vertAnchor="text" w:horzAnchor="page" w:tblpX="1318" w:tblpY="29"/>
        <w:tblOverlap w:val="never"/>
        <w:tblW w:w="1479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147"/>
        <w:gridCol w:w="2172"/>
        <w:gridCol w:w="3079"/>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466" w:type="dxa"/>
            <w:vAlign w:val="center"/>
          </w:tcPr>
          <w:p>
            <w:pPr>
              <w:pStyle w:val="12"/>
            </w:pPr>
            <w:r>
              <w:t>一级指标</w:t>
            </w:r>
          </w:p>
        </w:tc>
        <w:tc>
          <w:tcPr>
            <w:tcW w:w="2147" w:type="dxa"/>
            <w:vAlign w:val="center"/>
          </w:tcPr>
          <w:p>
            <w:pPr>
              <w:pStyle w:val="12"/>
            </w:pPr>
            <w:r>
              <w:t>二级指标</w:t>
            </w:r>
          </w:p>
        </w:tc>
        <w:tc>
          <w:tcPr>
            <w:tcW w:w="2172" w:type="dxa"/>
            <w:vAlign w:val="center"/>
          </w:tcPr>
          <w:p>
            <w:pPr>
              <w:pStyle w:val="12"/>
            </w:pPr>
            <w:r>
              <w:t>三级指标</w:t>
            </w:r>
          </w:p>
        </w:tc>
        <w:tc>
          <w:tcPr>
            <w:tcW w:w="3079"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2466" w:type="dxa"/>
            <w:vMerge w:val="restart"/>
            <w:vAlign w:val="center"/>
          </w:tcPr>
          <w:p>
            <w:pPr>
              <w:pStyle w:val="14"/>
            </w:pPr>
            <w:r>
              <w:t>产出指标</w:t>
            </w:r>
          </w:p>
        </w:tc>
        <w:tc>
          <w:tcPr>
            <w:tcW w:w="2147" w:type="dxa"/>
            <w:vAlign w:val="center"/>
          </w:tcPr>
          <w:p>
            <w:pPr>
              <w:pStyle w:val="13"/>
            </w:pPr>
            <w:r>
              <w:t>数量指标</w:t>
            </w:r>
          </w:p>
        </w:tc>
        <w:tc>
          <w:tcPr>
            <w:tcW w:w="2172" w:type="dxa"/>
            <w:vAlign w:val="center"/>
          </w:tcPr>
          <w:p>
            <w:pPr>
              <w:pStyle w:val="13"/>
            </w:pPr>
            <w:r>
              <w:t>宣传印刷品数量</w:t>
            </w:r>
          </w:p>
        </w:tc>
        <w:tc>
          <w:tcPr>
            <w:tcW w:w="3079" w:type="dxa"/>
            <w:vAlign w:val="center"/>
          </w:tcPr>
          <w:p>
            <w:pPr>
              <w:pStyle w:val="13"/>
            </w:pPr>
            <w:r>
              <w:t>宣传印刷品数量</w:t>
            </w:r>
          </w:p>
        </w:tc>
        <w:tc>
          <w:tcPr>
            <w:tcW w:w="2466" w:type="dxa"/>
            <w:vAlign w:val="center"/>
          </w:tcPr>
          <w:p>
            <w:pPr>
              <w:pStyle w:val="13"/>
            </w:pPr>
            <w:r>
              <w:t>≥9000册</w:t>
            </w:r>
          </w:p>
        </w:tc>
        <w:tc>
          <w:tcPr>
            <w:tcW w:w="2466" w:type="dxa"/>
            <w:vAlign w:val="center"/>
          </w:tcPr>
          <w:p>
            <w:pPr>
              <w:pStyle w:val="13"/>
            </w:pPr>
            <w:r>
              <w:t>2021年数据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2466" w:type="dxa"/>
            <w:vMerge w:val="continue"/>
            <w:vAlign w:val="center"/>
          </w:tcPr>
          <w:p/>
        </w:tc>
        <w:tc>
          <w:tcPr>
            <w:tcW w:w="2147" w:type="dxa"/>
            <w:vAlign w:val="center"/>
          </w:tcPr>
          <w:p>
            <w:pPr>
              <w:pStyle w:val="13"/>
            </w:pPr>
            <w:r>
              <w:t>数量指标</w:t>
            </w:r>
          </w:p>
        </w:tc>
        <w:tc>
          <w:tcPr>
            <w:tcW w:w="2172" w:type="dxa"/>
            <w:vAlign w:val="center"/>
          </w:tcPr>
          <w:p>
            <w:pPr>
              <w:pStyle w:val="13"/>
            </w:pPr>
            <w:r>
              <w:t>条幅数量</w:t>
            </w:r>
          </w:p>
        </w:tc>
        <w:tc>
          <w:tcPr>
            <w:tcW w:w="3079" w:type="dxa"/>
            <w:vAlign w:val="center"/>
          </w:tcPr>
          <w:p>
            <w:pPr>
              <w:pStyle w:val="13"/>
            </w:pPr>
            <w:r>
              <w:t>条幅数量</w:t>
            </w:r>
          </w:p>
        </w:tc>
        <w:tc>
          <w:tcPr>
            <w:tcW w:w="2466" w:type="dxa"/>
            <w:vAlign w:val="center"/>
          </w:tcPr>
          <w:p>
            <w:pPr>
              <w:pStyle w:val="13"/>
            </w:pPr>
            <w:r>
              <w:t>≥10条</w:t>
            </w:r>
          </w:p>
        </w:tc>
        <w:tc>
          <w:tcPr>
            <w:tcW w:w="2466" w:type="dxa"/>
            <w:vAlign w:val="center"/>
          </w:tcPr>
          <w:p>
            <w:pPr>
              <w:pStyle w:val="13"/>
            </w:pPr>
            <w:r>
              <w:t>2021年数据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2466" w:type="dxa"/>
            <w:vMerge w:val="continue"/>
            <w:vAlign w:val="center"/>
          </w:tcPr>
          <w:p/>
        </w:tc>
        <w:tc>
          <w:tcPr>
            <w:tcW w:w="2147" w:type="dxa"/>
            <w:vAlign w:val="center"/>
          </w:tcPr>
          <w:p>
            <w:pPr>
              <w:pStyle w:val="13"/>
            </w:pPr>
            <w:r>
              <w:t>质量指标</w:t>
            </w:r>
          </w:p>
        </w:tc>
        <w:tc>
          <w:tcPr>
            <w:tcW w:w="2172" w:type="dxa"/>
            <w:vAlign w:val="center"/>
          </w:tcPr>
          <w:p>
            <w:pPr>
              <w:pStyle w:val="13"/>
            </w:pPr>
            <w:r>
              <w:t>宣传品质量</w:t>
            </w:r>
          </w:p>
        </w:tc>
        <w:tc>
          <w:tcPr>
            <w:tcW w:w="3079" w:type="dxa"/>
            <w:vAlign w:val="center"/>
          </w:tcPr>
          <w:p>
            <w:pPr>
              <w:pStyle w:val="13"/>
            </w:pPr>
            <w:r>
              <w:t>质量合格率</w:t>
            </w:r>
          </w:p>
        </w:tc>
        <w:tc>
          <w:tcPr>
            <w:tcW w:w="2466" w:type="dxa"/>
            <w:vAlign w:val="center"/>
          </w:tcPr>
          <w:p>
            <w:pPr>
              <w:pStyle w:val="13"/>
            </w:pPr>
            <w:r>
              <w:t>≥100%</w:t>
            </w:r>
          </w:p>
        </w:tc>
        <w:tc>
          <w:tcPr>
            <w:tcW w:w="2466" w:type="dxa"/>
            <w:vAlign w:val="center"/>
          </w:tcPr>
          <w:p>
            <w:pPr>
              <w:pStyle w:val="13"/>
            </w:pPr>
            <w:r>
              <w:t>验收单、交接单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2466" w:type="dxa"/>
            <w:vMerge w:val="continue"/>
            <w:vAlign w:val="center"/>
          </w:tcPr>
          <w:p/>
        </w:tc>
        <w:tc>
          <w:tcPr>
            <w:tcW w:w="2147" w:type="dxa"/>
            <w:vAlign w:val="center"/>
          </w:tcPr>
          <w:p>
            <w:pPr>
              <w:pStyle w:val="13"/>
            </w:pPr>
            <w:r>
              <w:t>时效指标</w:t>
            </w:r>
          </w:p>
        </w:tc>
        <w:tc>
          <w:tcPr>
            <w:tcW w:w="2172" w:type="dxa"/>
            <w:vAlign w:val="center"/>
          </w:tcPr>
          <w:p>
            <w:pPr>
              <w:pStyle w:val="13"/>
            </w:pPr>
            <w:r>
              <w:t>工作完成时间</w:t>
            </w:r>
          </w:p>
        </w:tc>
        <w:tc>
          <w:tcPr>
            <w:tcW w:w="3079" w:type="dxa"/>
            <w:vAlign w:val="center"/>
          </w:tcPr>
          <w:p>
            <w:pPr>
              <w:pStyle w:val="13"/>
            </w:pPr>
            <w:r>
              <w:t>购置宣传品时间</w:t>
            </w:r>
          </w:p>
        </w:tc>
        <w:tc>
          <w:tcPr>
            <w:tcW w:w="2466" w:type="dxa"/>
            <w:vAlign w:val="center"/>
          </w:tcPr>
          <w:p>
            <w:pPr>
              <w:pStyle w:val="13"/>
            </w:pPr>
            <w:r>
              <w:t>4月份</w:t>
            </w:r>
          </w:p>
        </w:tc>
        <w:tc>
          <w:tcPr>
            <w:tcW w:w="2466" w:type="dxa"/>
            <w:vAlign w:val="center"/>
          </w:tcPr>
          <w:p>
            <w:pPr>
              <w:pStyle w:val="13"/>
            </w:pPr>
            <w:r>
              <w:t>2021年数据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2466" w:type="dxa"/>
            <w:vMerge w:val="continue"/>
            <w:vAlign w:val="center"/>
          </w:tcPr>
          <w:p/>
        </w:tc>
        <w:tc>
          <w:tcPr>
            <w:tcW w:w="2147" w:type="dxa"/>
            <w:vAlign w:val="center"/>
          </w:tcPr>
          <w:p>
            <w:pPr>
              <w:pStyle w:val="13"/>
            </w:pPr>
            <w:r>
              <w:t>成本指标</w:t>
            </w:r>
          </w:p>
        </w:tc>
        <w:tc>
          <w:tcPr>
            <w:tcW w:w="2172" w:type="dxa"/>
            <w:vAlign w:val="center"/>
          </w:tcPr>
          <w:p>
            <w:pPr>
              <w:pStyle w:val="13"/>
            </w:pPr>
            <w:r>
              <w:t>宣传印刷品成本</w:t>
            </w:r>
          </w:p>
        </w:tc>
        <w:tc>
          <w:tcPr>
            <w:tcW w:w="3079" w:type="dxa"/>
            <w:vAlign w:val="center"/>
          </w:tcPr>
          <w:p>
            <w:pPr>
              <w:pStyle w:val="13"/>
            </w:pPr>
            <w:r>
              <w:t>宣传册单位成本</w:t>
            </w:r>
          </w:p>
        </w:tc>
        <w:tc>
          <w:tcPr>
            <w:tcW w:w="2466" w:type="dxa"/>
            <w:vAlign w:val="center"/>
          </w:tcPr>
          <w:p>
            <w:pPr>
              <w:pStyle w:val="13"/>
            </w:pPr>
            <w:r>
              <w:t>≤2元</w:t>
            </w:r>
          </w:p>
        </w:tc>
        <w:tc>
          <w:tcPr>
            <w:tcW w:w="246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2466" w:type="dxa"/>
            <w:vMerge w:val="continue"/>
            <w:vAlign w:val="center"/>
          </w:tcPr>
          <w:p/>
        </w:tc>
        <w:tc>
          <w:tcPr>
            <w:tcW w:w="2147" w:type="dxa"/>
            <w:vAlign w:val="center"/>
          </w:tcPr>
          <w:p>
            <w:pPr>
              <w:pStyle w:val="13"/>
            </w:pPr>
            <w:r>
              <w:t>成本指标</w:t>
            </w:r>
          </w:p>
        </w:tc>
        <w:tc>
          <w:tcPr>
            <w:tcW w:w="2172" w:type="dxa"/>
            <w:vAlign w:val="center"/>
          </w:tcPr>
          <w:p>
            <w:pPr>
              <w:pStyle w:val="13"/>
            </w:pPr>
            <w:r>
              <w:t>制作条幅成本</w:t>
            </w:r>
          </w:p>
        </w:tc>
        <w:tc>
          <w:tcPr>
            <w:tcW w:w="3079" w:type="dxa"/>
            <w:vAlign w:val="center"/>
          </w:tcPr>
          <w:p>
            <w:pPr>
              <w:pStyle w:val="13"/>
            </w:pPr>
            <w:r>
              <w:t>条幅单位成本</w:t>
            </w:r>
          </w:p>
        </w:tc>
        <w:tc>
          <w:tcPr>
            <w:tcW w:w="2466" w:type="dxa"/>
            <w:vAlign w:val="center"/>
          </w:tcPr>
          <w:p>
            <w:pPr>
              <w:pStyle w:val="13"/>
            </w:pPr>
            <w:r>
              <w:t>≤100元</w:t>
            </w:r>
          </w:p>
        </w:tc>
        <w:tc>
          <w:tcPr>
            <w:tcW w:w="246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2466" w:type="dxa"/>
            <w:vMerge w:val="restart"/>
            <w:vAlign w:val="center"/>
          </w:tcPr>
          <w:p>
            <w:pPr>
              <w:pStyle w:val="14"/>
            </w:pPr>
            <w:r>
              <w:t>效益指标</w:t>
            </w:r>
          </w:p>
        </w:tc>
        <w:tc>
          <w:tcPr>
            <w:tcW w:w="2147" w:type="dxa"/>
            <w:vAlign w:val="center"/>
          </w:tcPr>
          <w:p>
            <w:pPr>
              <w:pStyle w:val="13"/>
            </w:pPr>
            <w:r>
              <w:t>社会效益指标</w:t>
            </w:r>
          </w:p>
        </w:tc>
        <w:tc>
          <w:tcPr>
            <w:tcW w:w="2172" w:type="dxa"/>
            <w:vAlign w:val="center"/>
          </w:tcPr>
          <w:p>
            <w:pPr>
              <w:pStyle w:val="13"/>
            </w:pPr>
            <w:r>
              <w:t>知晓率</w:t>
            </w:r>
          </w:p>
        </w:tc>
        <w:tc>
          <w:tcPr>
            <w:tcW w:w="3079" w:type="dxa"/>
            <w:vAlign w:val="center"/>
          </w:tcPr>
          <w:p>
            <w:pPr>
              <w:pStyle w:val="13"/>
            </w:pPr>
            <w:r>
              <w:t>参保群众和定点医疗机构对医保法律法规的知晓程度</w:t>
            </w:r>
          </w:p>
        </w:tc>
        <w:tc>
          <w:tcPr>
            <w:tcW w:w="2466" w:type="dxa"/>
            <w:vAlign w:val="center"/>
          </w:tcPr>
          <w:p>
            <w:pPr>
              <w:pStyle w:val="13"/>
            </w:pPr>
            <w:r>
              <w:t>≥90%</w:t>
            </w:r>
          </w:p>
        </w:tc>
        <w:tc>
          <w:tcPr>
            <w:tcW w:w="2466" w:type="dxa"/>
            <w:vAlign w:val="center"/>
          </w:tcPr>
          <w:p>
            <w:pPr>
              <w:pStyle w:val="13"/>
            </w:pPr>
            <w:r>
              <w:t xml:space="preserve"> 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2466" w:type="dxa"/>
            <w:vMerge w:val="continue"/>
            <w:vAlign w:val="center"/>
          </w:tcPr>
          <w:p/>
        </w:tc>
        <w:tc>
          <w:tcPr>
            <w:tcW w:w="2147" w:type="dxa"/>
            <w:vAlign w:val="center"/>
          </w:tcPr>
          <w:p>
            <w:pPr>
              <w:pStyle w:val="13"/>
            </w:pPr>
            <w:r>
              <w:t>可持续影响指标</w:t>
            </w:r>
          </w:p>
        </w:tc>
        <w:tc>
          <w:tcPr>
            <w:tcW w:w="2172" w:type="dxa"/>
            <w:vAlign w:val="center"/>
          </w:tcPr>
          <w:p>
            <w:pPr>
              <w:pStyle w:val="13"/>
            </w:pPr>
            <w:r>
              <w:t>提高人群针对欺诈骗保的防范性</w:t>
            </w:r>
          </w:p>
        </w:tc>
        <w:tc>
          <w:tcPr>
            <w:tcW w:w="3079" w:type="dxa"/>
            <w:vAlign w:val="center"/>
          </w:tcPr>
          <w:p>
            <w:pPr>
              <w:pStyle w:val="13"/>
            </w:pPr>
            <w:r>
              <w:t>提高人群防范性</w:t>
            </w:r>
          </w:p>
        </w:tc>
        <w:tc>
          <w:tcPr>
            <w:tcW w:w="2466" w:type="dxa"/>
            <w:vAlign w:val="center"/>
          </w:tcPr>
          <w:p>
            <w:pPr>
              <w:pStyle w:val="13"/>
            </w:pPr>
            <w:r>
              <w:t>显著</w:t>
            </w:r>
          </w:p>
        </w:tc>
        <w:tc>
          <w:tcPr>
            <w:tcW w:w="2466" w:type="dxa"/>
            <w:vAlign w:val="center"/>
          </w:tcPr>
          <w:p>
            <w:pPr>
              <w:pStyle w:val="13"/>
            </w:pPr>
            <w:r>
              <w:t xml:space="preserve"> 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2466" w:type="dxa"/>
            <w:vAlign w:val="center"/>
          </w:tcPr>
          <w:p>
            <w:pPr>
              <w:pStyle w:val="14"/>
            </w:pPr>
            <w:r>
              <w:t>满意度指标</w:t>
            </w:r>
          </w:p>
        </w:tc>
        <w:tc>
          <w:tcPr>
            <w:tcW w:w="2147" w:type="dxa"/>
            <w:vAlign w:val="center"/>
          </w:tcPr>
          <w:p>
            <w:pPr>
              <w:pStyle w:val="13"/>
            </w:pPr>
            <w:r>
              <w:t>服务对象满意度指标</w:t>
            </w:r>
          </w:p>
        </w:tc>
        <w:tc>
          <w:tcPr>
            <w:tcW w:w="2172" w:type="dxa"/>
            <w:vAlign w:val="center"/>
          </w:tcPr>
          <w:p>
            <w:pPr>
              <w:pStyle w:val="13"/>
            </w:pPr>
            <w:r>
              <w:t>受益群众满意度</w:t>
            </w:r>
          </w:p>
        </w:tc>
        <w:tc>
          <w:tcPr>
            <w:tcW w:w="3079" w:type="dxa"/>
            <w:vAlign w:val="center"/>
          </w:tcPr>
          <w:p>
            <w:pPr>
              <w:pStyle w:val="13"/>
            </w:pPr>
            <w:r>
              <w:t>受益群众满意率</w:t>
            </w:r>
          </w:p>
        </w:tc>
        <w:tc>
          <w:tcPr>
            <w:tcW w:w="2466" w:type="dxa"/>
            <w:vAlign w:val="center"/>
          </w:tcPr>
          <w:p>
            <w:pPr>
              <w:pStyle w:val="13"/>
            </w:pPr>
            <w:r>
              <w:t>≥90%</w:t>
            </w:r>
          </w:p>
        </w:tc>
        <w:tc>
          <w:tcPr>
            <w:tcW w:w="2466" w:type="dxa"/>
            <w:vAlign w:val="center"/>
          </w:tcPr>
          <w:p>
            <w:pPr>
              <w:pStyle w:val="13"/>
            </w:pPr>
            <w:r>
              <w:t xml:space="preserve"> 问卷调查</w:t>
            </w:r>
          </w:p>
        </w:tc>
      </w:tr>
    </w:tbl>
    <w:p>
      <w:pPr>
        <w:spacing w:line="14" w:lineRule="exact"/>
        <w:ind w:firstLine="420" w:firstLineChars="200"/>
        <w:jc w:val="center"/>
        <w:rPr>
          <w:rFonts w:ascii="Times New Roman" w:hAnsi="Times New Roman" w:eastAsia="仿宋_GB2312" w:cs="Times New Roman"/>
        </w:rPr>
      </w:pPr>
    </w:p>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jc w:val="left"/>
        <w:outlineLvl w:val="1"/>
        <w:rPr>
          <w:rFonts w:ascii="仿宋" w:hAnsi="仿宋" w:eastAsia="仿宋" w:cs="Times New Roman"/>
          <w:sz w:val="28"/>
        </w:rPr>
      </w:pPr>
    </w:p>
    <w:p>
      <w:pPr>
        <w:jc w:val="left"/>
        <w:outlineLvl w:val="1"/>
        <w:rPr>
          <w:rFonts w:ascii="仿宋" w:hAnsi="仿宋" w:eastAsia="仿宋" w:cs="Times New Roman"/>
          <w:sz w:val="28"/>
        </w:rPr>
      </w:pPr>
    </w:p>
    <w:p>
      <w:pPr>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vanish/>
          <w:sz w:val="28"/>
        </w:rPr>
      </w:pPr>
      <w:r>
        <w:rPr>
          <w:rFonts w:ascii="仿宋" w:hAnsi="仿宋" w:eastAsia="仿宋" w:cs="Times New Roman"/>
          <w:sz w:val="28"/>
        </w:rPr>
        <w:t>2.全民参保工作保障经费绩效目标表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1.项目通过各种形式进行宣传，提高城乡居民缴纳医疗保险认知度，落实全民参保工作要求。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全县参保人约10万人</w:t>
            </w:r>
          </w:p>
        </w:tc>
        <w:tc>
          <w:tcPr>
            <w:tcW w:w="2466" w:type="dxa"/>
            <w:vAlign w:val="center"/>
          </w:tcPr>
          <w:p>
            <w:pPr>
              <w:pStyle w:val="13"/>
            </w:pPr>
            <w:r>
              <w:rPr>
                <w:kern w:val="0"/>
                <w:szCs w:val="24"/>
                <w:lang w:eastAsia="uk-UA"/>
              </w:rPr>
              <w:t>完成全县参保人员各项综合医疗保险业务管理工作完成情况</w:t>
            </w:r>
          </w:p>
        </w:tc>
        <w:tc>
          <w:tcPr>
            <w:tcW w:w="2466" w:type="dxa"/>
            <w:vAlign w:val="center"/>
          </w:tcPr>
          <w:p>
            <w:pPr>
              <w:pStyle w:val="13"/>
            </w:pPr>
            <w:r>
              <w:t>≥100000人</w:t>
            </w:r>
          </w:p>
        </w:tc>
        <w:tc>
          <w:tcPr>
            <w:tcW w:w="2466" w:type="dxa"/>
            <w:vAlign w:val="center"/>
          </w:tcPr>
          <w:p>
            <w:pPr>
              <w:pStyle w:val="13"/>
            </w:pPr>
            <w:r>
              <w:t>冀医保字〔2020〕49号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参保宣传覆盖率</w:t>
            </w:r>
          </w:p>
        </w:tc>
        <w:tc>
          <w:tcPr>
            <w:tcW w:w="2466" w:type="dxa"/>
            <w:vAlign w:val="center"/>
          </w:tcPr>
          <w:p>
            <w:pPr>
              <w:pStyle w:val="13"/>
            </w:pPr>
            <w:r>
              <w:t>宣传全民参保政策覆盖全县应参保人群的比率</w:t>
            </w:r>
          </w:p>
        </w:tc>
        <w:tc>
          <w:tcPr>
            <w:tcW w:w="2466" w:type="dxa"/>
            <w:vAlign w:val="center"/>
          </w:tcPr>
          <w:p>
            <w:pPr>
              <w:pStyle w:val="13"/>
            </w:pPr>
            <w:r>
              <w:t>≥95百分比</w:t>
            </w:r>
          </w:p>
        </w:tc>
        <w:tc>
          <w:tcPr>
            <w:tcW w:w="2466" w:type="dxa"/>
            <w:vAlign w:val="center"/>
          </w:tcPr>
          <w:p>
            <w:pPr>
              <w:pStyle w:val="13"/>
            </w:pPr>
            <w:r>
              <w:t>冀医保字〔2020〕49号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及时率</w:t>
            </w:r>
          </w:p>
        </w:tc>
        <w:tc>
          <w:tcPr>
            <w:tcW w:w="2466" w:type="dxa"/>
            <w:vAlign w:val="center"/>
          </w:tcPr>
          <w:p>
            <w:pPr>
              <w:pStyle w:val="13"/>
            </w:pPr>
            <w:r>
              <w:t>宣传事项实际在规定时间内及时宣传数占应在规定时间内及时宣传数的比率</w:t>
            </w:r>
          </w:p>
        </w:tc>
        <w:tc>
          <w:tcPr>
            <w:tcW w:w="2466" w:type="dxa"/>
            <w:vAlign w:val="center"/>
          </w:tcPr>
          <w:p>
            <w:pPr>
              <w:pStyle w:val="13"/>
            </w:pPr>
            <w:r>
              <w:t>≥100百分比</w:t>
            </w:r>
          </w:p>
        </w:tc>
        <w:tc>
          <w:tcPr>
            <w:tcW w:w="246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宣传资料的印制费用</w:t>
            </w:r>
          </w:p>
        </w:tc>
        <w:tc>
          <w:tcPr>
            <w:tcW w:w="2466" w:type="dxa"/>
            <w:vAlign w:val="center"/>
          </w:tcPr>
          <w:p>
            <w:pPr>
              <w:pStyle w:val="13"/>
            </w:pPr>
            <w:r>
              <w:t>宣传资料的印制费用单位成本</w:t>
            </w:r>
          </w:p>
        </w:tc>
        <w:tc>
          <w:tcPr>
            <w:tcW w:w="2466" w:type="dxa"/>
            <w:vAlign w:val="center"/>
          </w:tcPr>
          <w:p>
            <w:pPr>
              <w:pStyle w:val="13"/>
            </w:pPr>
            <w:r>
              <w:t>≤5元/册</w:t>
            </w:r>
          </w:p>
        </w:tc>
        <w:tc>
          <w:tcPr>
            <w:tcW w:w="2466" w:type="dxa"/>
            <w:vAlign w:val="center"/>
          </w:tcPr>
          <w:p>
            <w:pPr>
              <w:pStyle w:val="13"/>
            </w:pPr>
            <w:r>
              <w:t>2022年计划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知晓率</w:t>
            </w:r>
          </w:p>
        </w:tc>
        <w:tc>
          <w:tcPr>
            <w:tcW w:w="2466" w:type="dxa"/>
            <w:vAlign w:val="center"/>
          </w:tcPr>
          <w:p>
            <w:pPr>
              <w:pStyle w:val="13"/>
            </w:pPr>
            <w:r>
              <w:t>参保群众对全民参保政策的知晓程度</w:t>
            </w:r>
          </w:p>
        </w:tc>
        <w:tc>
          <w:tcPr>
            <w:tcW w:w="2466" w:type="dxa"/>
            <w:vAlign w:val="center"/>
          </w:tcPr>
          <w:p>
            <w:pPr>
              <w:pStyle w:val="13"/>
            </w:pPr>
            <w:r>
              <w:t>≥95%</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国家全民医保政策支持率</w:t>
            </w:r>
          </w:p>
        </w:tc>
        <w:tc>
          <w:tcPr>
            <w:tcW w:w="2466" w:type="dxa"/>
            <w:vAlign w:val="center"/>
          </w:tcPr>
          <w:p>
            <w:pPr>
              <w:pStyle w:val="13"/>
            </w:pPr>
            <w:r>
              <w:t>广大群众对国家全民医保政策支持率</w:t>
            </w:r>
          </w:p>
        </w:tc>
        <w:tc>
          <w:tcPr>
            <w:tcW w:w="2466" w:type="dxa"/>
            <w:vAlign w:val="center"/>
          </w:tcPr>
          <w:p>
            <w:pPr>
              <w:pStyle w:val="13"/>
            </w:pPr>
            <w:r>
              <w:t>≥100%</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群众满意程度</w:t>
            </w:r>
          </w:p>
        </w:tc>
        <w:tc>
          <w:tcPr>
            <w:tcW w:w="2466" w:type="dxa"/>
            <w:vAlign w:val="center"/>
          </w:tcPr>
          <w:p>
            <w:pPr>
              <w:pStyle w:val="13"/>
            </w:pPr>
            <w:r>
              <w:t>群众对提供各种政务等服务的满意程度</w:t>
            </w:r>
          </w:p>
        </w:tc>
        <w:tc>
          <w:tcPr>
            <w:tcW w:w="2466" w:type="dxa"/>
            <w:vAlign w:val="center"/>
          </w:tcPr>
          <w:p>
            <w:pPr>
              <w:pStyle w:val="13"/>
            </w:pPr>
            <w:r>
              <w:t>≥95百分比</w:t>
            </w:r>
          </w:p>
        </w:tc>
        <w:tc>
          <w:tcPr>
            <w:tcW w:w="2466" w:type="dxa"/>
            <w:vAlign w:val="center"/>
          </w:tcPr>
          <w:p>
            <w:pPr>
              <w:pStyle w:val="13"/>
            </w:pPr>
            <w:r>
              <w:t>各种政务服务</w:t>
            </w:r>
          </w:p>
        </w:tc>
      </w:tr>
    </w:tbl>
    <w:p>
      <w:pPr>
        <w:ind w:firstLine="560" w:firstLineChars="200"/>
        <w:jc w:val="left"/>
        <w:outlineLvl w:val="1"/>
        <w:rPr>
          <w:rFonts w:ascii="仿宋" w:hAnsi="仿宋" w:eastAsia="仿宋" w:cs="Times New Roman"/>
          <w:vanish/>
          <w:sz w:val="28"/>
        </w:rPr>
      </w:pPr>
    </w:p>
    <w:p>
      <w:pPr>
        <w:ind w:firstLine="560" w:firstLineChars="200"/>
        <w:jc w:val="left"/>
        <w:outlineLvl w:val="1"/>
        <w:rPr>
          <w:rFonts w:ascii="仿宋" w:hAnsi="仿宋" w:eastAsia="仿宋" w:cs="Times New Roman"/>
          <w:vanish/>
          <w:sz w:val="28"/>
        </w:rPr>
      </w:pPr>
    </w:p>
    <w:p>
      <w:pPr>
        <w:ind w:firstLine="560" w:firstLineChars="200"/>
        <w:jc w:val="left"/>
        <w:outlineLvl w:val="1"/>
        <w:rPr>
          <w:rFonts w:ascii="仿宋" w:hAnsi="仿宋" w:eastAsia="仿宋" w:cs="Times New Roman"/>
          <w:vanish/>
          <w:sz w:val="28"/>
        </w:rPr>
      </w:pPr>
    </w:p>
    <w:p>
      <w:pPr>
        <w:ind w:firstLine="560" w:firstLineChars="200"/>
        <w:jc w:val="left"/>
        <w:outlineLvl w:val="1"/>
        <w:rPr>
          <w:rFonts w:ascii="仿宋" w:hAnsi="仿宋" w:eastAsia="仿宋" w:cs="Times New Roman"/>
          <w:vanish/>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r>
        <w:rPr>
          <w:rFonts w:ascii="仿宋" w:hAnsi="仿宋" w:eastAsia="仿宋" w:cs="Times New Roman"/>
          <w:sz w:val="28"/>
        </w:rPr>
        <w:t>3、退役军人辅助性岗位经费绩效目标表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1.通过项目的开展，为符合条件的退役军人提供再就业机会。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工作人员数量</w:t>
            </w:r>
          </w:p>
        </w:tc>
        <w:tc>
          <w:tcPr>
            <w:tcW w:w="2466" w:type="dxa"/>
            <w:vAlign w:val="center"/>
          </w:tcPr>
          <w:p>
            <w:pPr>
              <w:pStyle w:val="13"/>
            </w:pPr>
            <w:r>
              <w:t>按文件要求以辅助性岗位安排工作人员</w:t>
            </w:r>
          </w:p>
        </w:tc>
        <w:tc>
          <w:tcPr>
            <w:tcW w:w="2466" w:type="dxa"/>
            <w:vAlign w:val="center"/>
          </w:tcPr>
          <w:p>
            <w:pPr>
              <w:pStyle w:val="13"/>
            </w:pPr>
            <w:r>
              <w:t xml:space="preserve">≥1人 </w:t>
            </w:r>
          </w:p>
        </w:tc>
        <w:tc>
          <w:tcPr>
            <w:tcW w:w="2466" w:type="dxa"/>
            <w:vAlign w:val="center"/>
          </w:tcPr>
          <w:p>
            <w:pPr>
              <w:pStyle w:val="13"/>
            </w:pPr>
            <w:r>
              <w:t>实际辅助岗位人员情况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足额发放率</w:t>
            </w:r>
          </w:p>
        </w:tc>
        <w:tc>
          <w:tcPr>
            <w:tcW w:w="2466" w:type="dxa"/>
            <w:vAlign w:val="center"/>
          </w:tcPr>
          <w:p>
            <w:pPr>
              <w:pStyle w:val="13"/>
            </w:pPr>
            <w:r>
              <w:t>实际发放额与计划发放额的比率</w:t>
            </w:r>
          </w:p>
        </w:tc>
        <w:tc>
          <w:tcPr>
            <w:tcW w:w="2466" w:type="dxa"/>
            <w:vAlign w:val="center"/>
          </w:tcPr>
          <w:p>
            <w:pPr>
              <w:pStyle w:val="13"/>
            </w:pPr>
            <w:r>
              <w:t>100%</w:t>
            </w:r>
          </w:p>
        </w:tc>
        <w:tc>
          <w:tcPr>
            <w:tcW w:w="2466" w:type="dxa"/>
            <w:vAlign w:val="center"/>
          </w:tcPr>
          <w:p>
            <w:pPr>
              <w:pStyle w:val="13"/>
            </w:pPr>
            <w:r>
              <w:t>《关于军队退役人员辅助性岗位安排实施方案》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工资发放及时性</w:t>
            </w:r>
          </w:p>
        </w:tc>
        <w:tc>
          <w:tcPr>
            <w:tcW w:w="2466" w:type="dxa"/>
            <w:vAlign w:val="center"/>
          </w:tcPr>
          <w:p>
            <w:pPr>
              <w:pStyle w:val="13"/>
            </w:pPr>
            <w:r>
              <w:t>工资发放的实效情况</w:t>
            </w:r>
          </w:p>
        </w:tc>
        <w:tc>
          <w:tcPr>
            <w:tcW w:w="2466" w:type="dxa"/>
            <w:vAlign w:val="center"/>
          </w:tcPr>
          <w:p>
            <w:pPr>
              <w:pStyle w:val="13"/>
            </w:pPr>
            <w:r>
              <w:t>12次</w:t>
            </w:r>
          </w:p>
        </w:tc>
        <w:tc>
          <w:tcPr>
            <w:tcW w:w="2466" w:type="dxa"/>
            <w:vAlign w:val="center"/>
          </w:tcPr>
          <w:p>
            <w:pPr>
              <w:pStyle w:val="13"/>
            </w:pPr>
            <w:r>
              <w:t>《关于军队退役人员辅助性岗位安排实施方案》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年发放工资、保险费用</w:t>
            </w:r>
          </w:p>
        </w:tc>
        <w:tc>
          <w:tcPr>
            <w:tcW w:w="2466" w:type="dxa"/>
            <w:vAlign w:val="center"/>
          </w:tcPr>
          <w:p>
            <w:pPr>
              <w:pStyle w:val="13"/>
            </w:pPr>
            <w:r>
              <w:t>年支付工资、保险等总费用</w:t>
            </w:r>
          </w:p>
        </w:tc>
        <w:tc>
          <w:tcPr>
            <w:tcW w:w="2466" w:type="dxa"/>
            <w:vAlign w:val="center"/>
          </w:tcPr>
          <w:p>
            <w:pPr>
              <w:pStyle w:val="13"/>
            </w:pPr>
            <w:r>
              <w:t>≤5.6万元</w:t>
            </w:r>
          </w:p>
        </w:tc>
        <w:tc>
          <w:tcPr>
            <w:tcW w:w="2466" w:type="dxa"/>
            <w:vAlign w:val="center"/>
          </w:tcPr>
          <w:p>
            <w:pPr>
              <w:pStyle w:val="13"/>
            </w:pPr>
            <w:r>
              <w:t>《关于军队退役人员辅助性岗位安排实施方案》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保障率</w:t>
            </w:r>
          </w:p>
        </w:tc>
        <w:tc>
          <w:tcPr>
            <w:tcW w:w="2466" w:type="dxa"/>
            <w:vAlign w:val="center"/>
          </w:tcPr>
          <w:p>
            <w:pPr>
              <w:pStyle w:val="13"/>
            </w:pPr>
            <w:r>
              <w:t>保障退役军人生活水平</w:t>
            </w:r>
          </w:p>
        </w:tc>
        <w:tc>
          <w:tcPr>
            <w:tcW w:w="2466" w:type="dxa"/>
            <w:vAlign w:val="center"/>
          </w:tcPr>
          <w:p>
            <w:pPr>
              <w:pStyle w:val="13"/>
            </w:pPr>
            <w:r>
              <w:t>≥100%</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稳定性</w:t>
            </w:r>
          </w:p>
        </w:tc>
        <w:tc>
          <w:tcPr>
            <w:tcW w:w="2466" w:type="dxa"/>
            <w:vAlign w:val="center"/>
          </w:tcPr>
          <w:p>
            <w:pPr>
              <w:pStyle w:val="13"/>
            </w:pPr>
            <w:r>
              <w:t>保持局机关人员业务稳定性</w:t>
            </w:r>
          </w:p>
        </w:tc>
        <w:tc>
          <w:tcPr>
            <w:tcW w:w="2466" w:type="dxa"/>
            <w:vAlign w:val="center"/>
          </w:tcPr>
          <w:p>
            <w:pPr>
              <w:pStyle w:val="13"/>
            </w:pPr>
            <w:r>
              <w:t>≥100%</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服务对象满意度</w:t>
            </w:r>
          </w:p>
        </w:tc>
        <w:tc>
          <w:tcPr>
            <w:tcW w:w="2466" w:type="dxa"/>
            <w:vAlign w:val="center"/>
          </w:tcPr>
          <w:p>
            <w:pPr>
              <w:pStyle w:val="13"/>
            </w:pPr>
            <w:r>
              <w:t>退役军人对辅助性岗位工资额度及发放时效的满意度</w:t>
            </w:r>
          </w:p>
        </w:tc>
        <w:tc>
          <w:tcPr>
            <w:tcW w:w="2466" w:type="dxa"/>
            <w:vAlign w:val="center"/>
          </w:tcPr>
          <w:p>
            <w:pPr>
              <w:pStyle w:val="13"/>
            </w:pPr>
            <w:r>
              <w:t>≥95%</w:t>
            </w:r>
          </w:p>
        </w:tc>
        <w:tc>
          <w:tcPr>
            <w:tcW w:w="2466" w:type="dxa"/>
            <w:vAlign w:val="center"/>
          </w:tcPr>
          <w:p>
            <w:pPr>
              <w:pStyle w:val="13"/>
            </w:pPr>
            <w:r>
              <w:t>调查问卷</w:t>
            </w:r>
          </w:p>
        </w:tc>
      </w:tr>
    </w:tbl>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r>
        <w:rPr>
          <w:rFonts w:ascii="仿宋" w:hAnsi="仿宋" w:eastAsia="仿宋" w:cs="Times New Roman"/>
          <w:sz w:val="28"/>
        </w:rPr>
        <w:t>4、网络设备软件运行保障经费绩效目标表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1.通过及时支付网络运行服务保障费用完成保障局机关正常办公网络环境、服务器、电脑、网络设备、监控设备、安全设备、打印机、路由器、行为管理器、交换机的正常使用的目标。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软件维护</w:t>
            </w:r>
          </w:p>
        </w:tc>
        <w:tc>
          <w:tcPr>
            <w:tcW w:w="2466" w:type="dxa"/>
            <w:vAlign w:val="center"/>
          </w:tcPr>
          <w:p>
            <w:pPr>
              <w:pStyle w:val="13"/>
            </w:pPr>
            <w:r>
              <w:t>机房网络防火墙、病毒库升级，医保数据备份，数据安全监测等</w:t>
            </w:r>
          </w:p>
        </w:tc>
        <w:tc>
          <w:tcPr>
            <w:tcW w:w="2466" w:type="dxa"/>
            <w:vAlign w:val="center"/>
          </w:tcPr>
          <w:p>
            <w:pPr>
              <w:pStyle w:val="13"/>
            </w:pPr>
            <w:r>
              <w:t>≥1项</w:t>
            </w:r>
          </w:p>
        </w:tc>
        <w:tc>
          <w:tcPr>
            <w:tcW w:w="2466" w:type="dxa"/>
            <w:vAlign w:val="center"/>
          </w:tcPr>
          <w:p>
            <w:pPr>
              <w:pStyle w:val="13"/>
            </w:pPr>
            <w:r>
              <w:t>工作测算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数量指标</w:t>
            </w:r>
          </w:p>
        </w:tc>
        <w:tc>
          <w:tcPr>
            <w:tcW w:w="2466" w:type="dxa"/>
            <w:vAlign w:val="center"/>
          </w:tcPr>
          <w:p>
            <w:pPr>
              <w:pStyle w:val="13"/>
            </w:pPr>
            <w:r>
              <w:t>硬件维护</w:t>
            </w:r>
          </w:p>
        </w:tc>
        <w:tc>
          <w:tcPr>
            <w:tcW w:w="2466" w:type="dxa"/>
            <w:vAlign w:val="center"/>
          </w:tcPr>
          <w:p>
            <w:pPr>
              <w:pStyle w:val="13"/>
            </w:pPr>
            <w:r>
              <w:t>网络设备维护</w:t>
            </w:r>
          </w:p>
        </w:tc>
        <w:tc>
          <w:tcPr>
            <w:tcW w:w="2466" w:type="dxa"/>
            <w:vAlign w:val="center"/>
          </w:tcPr>
          <w:p>
            <w:pPr>
              <w:pStyle w:val="13"/>
            </w:pPr>
            <w:r>
              <w:t>≥1项</w:t>
            </w:r>
          </w:p>
        </w:tc>
        <w:tc>
          <w:tcPr>
            <w:tcW w:w="2466" w:type="dxa"/>
            <w:vAlign w:val="center"/>
          </w:tcPr>
          <w:p>
            <w:pPr>
              <w:pStyle w:val="13"/>
            </w:pPr>
            <w:r>
              <w:t>工作测算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数量指标</w:t>
            </w:r>
          </w:p>
        </w:tc>
        <w:tc>
          <w:tcPr>
            <w:tcW w:w="2466" w:type="dxa"/>
            <w:vAlign w:val="center"/>
          </w:tcPr>
          <w:p>
            <w:pPr>
              <w:pStyle w:val="13"/>
            </w:pPr>
            <w:r>
              <w:t>网络使用</w:t>
            </w:r>
          </w:p>
        </w:tc>
        <w:tc>
          <w:tcPr>
            <w:tcW w:w="2466" w:type="dxa"/>
            <w:vAlign w:val="center"/>
          </w:tcPr>
          <w:p>
            <w:pPr>
              <w:pStyle w:val="13"/>
            </w:pPr>
            <w:r>
              <w:t>网线及办公电话使用费</w:t>
            </w:r>
          </w:p>
        </w:tc>
        <w:tc>
          <w:tcPr>
            <w:tcW w:w="2466" w:type="dxa"/>
            <w:vAlign w:val="center"/>
          </w:tcPr>
          <w:p>
            <w:pPr>
              <w:pStyle w:val="13"/>
            </w:pPr>
            <w:r>
              <w:t>≥1项</w:t>
            </w:r>
          </w:p>
        </w:tc>
        <w:tc>
          <w:tcPr>
            <w:tcW w:w="2466" w:type="dxa"/>
            <w:vAlign w:val="center"/>
          </w:tcPr>
          <w:p>
            <w:pPr>
              <w:pStyle w:val="13"/>
            </w:pPr>
            <w:r>
              <w:t>工作测算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数量指标</w:t>
            </w:r>
          </w:p>
        </w:tc>
        <w:tc>
          <w:tcPr>
            <w:tcW w:w="2466" w:type="dxa"/>
            <w:vAlign w:val="center"/>
          </w:tcPr>
          <w:p>
            <w:pPr>
              <w:pStyle w:val="13"/>
            </w:pPr>
            <w:r>
              <w:t>网络改造</w:t>
            </w:r>
          </w:p>
        </w:tc>
        <w:tc>
          <w:tcPr>
            <w:tcW w:w="2466" w:type="dxa"/>
            <w:vAlign w:val="center"/>
          </w:tcPr>
          <w:p>
            <w:pPr>
              <w:pStyle w:val="13"/>
            </w:pPr>
            <w:r>
              <w:t>办公终端增加，网络构架升级</w:t>
            </w:r>
          </w:p>
        </w:tc>
        <w:tc>
          <w:tcPr>
            <w:tcW w:w="2466" w:type="dxa"/>
            <w:vAlign w:val="center"/>
          </w:tcPr>
          <w:p>
            <w:pPr>
              <w:pStyle w:val="13"/>
            </w:pPr>
            <w:r>
              <w:t>≥1项</w:t>
            </w:r>
          </w:p>
        </w:tc>
        <w:tc>
          <w:tcPr>
            <w:tcW w:w="2466" w:type="dxa"/>
            <w:vAlign w:val="center"/>
          </w:tcPr>
          <w:p>
            <w:pPr>
              <w:pStyle w:val="13"/>
            </w:pPr>
            <w:r>
              <w:t>工作测算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故障排除率</w:t>
            </w:r>
          </w:p>
        </w:tc>
        <w:tc>
          <w:tcPr>
            <w:tcW w:w="2466" w:type="dxa"/>
            <w:vAlign w:val="center"/>
          </w:tcPr>
          <w:p>
            <w:pPr>
              <w:pStyle w:val="13"/>
            </w:pPr>
            <w:r>
              <w:t>排除故障次数占故障发生次数的比例</w:t>
            </w:r>
          </w:p>
        </w:tc>
        <w:tc>
          <w:tcPr>
            <w:tcW w:w="2466" w:type="dxa"/>
            <w:vAlign w:val="center"/>
          </w:tcPr>
          <w:p>
            <w:pPr>
              <w:pStyle w:val="13"/>
            </w:pPr>
            <w:r>
              <w:t>100比率</w:t>
            </w:r>
          </w:p>
        </w:tc>
        <w:tc>
          <w:tcPr>
            <w:tcW w:w="2466" w:type="dxa"/>
            <w:vAlign w:val="center"/>
          </w:tcPr>
          <w:p>
            <w:pPr>
              <w:pStyle w:val="13"/>
            </w:pPr>
            <w:r>
              <w:t>实际需求/合同约定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业务处理及时性</w:t>
            </w:r>
          </w:p>
        </w:tc>
        <w:tc>
          <w:tcPr>
            <w:tcW w:w="2466" w:type="dxa"/>
            <w:vAlign w:val="center"/>
          </w:tcPr>
          <w:p>
            <w:pPr>
              <w:pStyle w:val="13"/>
            </w:pPr>
            <w:r>
              <w:t>及时处理业务数占总处理数的比率</w:t>
            </w:r>
          </w:p>
        </w:tc>
        <w:tc>
          <w:tcPr>
            <w:tcW w:w="2466" w:type="dxa"/>
            <w:vAlign w:val="center"/>
          </w:tcPr>
          <w:p>
            <w:pPr>
              <w:pStyle w:val="13"/>
            </w:pPr>
            <w:r>
              <w:t>≥365天</w:t>
            </w:r>
          </w:p>
        </w:tc>
        <w:tc>
          <w:tcPr>
            <w:tcW w:w="2466" w:type="dxa"/>
            <w:vAlign w:val="center"/>
          </w:tcPr>
          <w:p>
            <w:pPr>
              <w:pStyle w:val="13"/>
            </w:pPr>
            <w:r>
              <w:t>2021年数据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网络使用成本</w:t>
            </w:r>
          </w:p>
        </w:tc>
        <w:tc>
          <w:tcPr>
            <w:tcW w:w="2466" w:type="dxa"/>
            <w:vAlign w:val="center"/>
          </w:tcPr>
          <w:p>
            <w:pPr>
              <w:pStyle w:val="13"/>
            </w:pPr>
            <w:r>
              <w:t>网络使用支付成本费用</w:t>
            </w:r>
          </w:p>
        </w:tc>
        <w:tc>
          <w:tcPr>
            <w:tcW w:w="2466" w:type="dxa"/>
            <w:vAlign w:val="center"/>
          </w:tcPr>
          <w:p>
            <w:pPr>
              <w:pStyle w:val="13"/>
            </w:pPr>
            <w:r>
              <w:t>≤8.18万元</w:t>
            </w:r>
          </w:p>
        </w:tc>
        <w:tc>
          <w:tcPr>
            <w:tcW w:w="2466" w:type="dxa"/>
            <w:vAlign w:val="center"/>
          </w:tcPr>
          <w:p>
            <w:pPr>
              <w:pStyle w:val="13"/>
            </w:pPr>
            <w:r>
              <w:t>2021年合同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硬件维护成本</w:t>
            </w:r>
          </w:p>
        </w:tc>
        <w:tc>
          <w:tcPr>
            <w:tcW w:w="2466" w:type="dxa"/>
            <w:vAlign w:val="center"/>
          </w:tcPr>
          <w:p>
            <w:pPr>
              <w:pStyle w:val="13"/>
            </w:pPr>
            <w:r>
              <w:t>网络设备维护支付成本费用</w:t>
            </w:r>
          </w:p>
        </w:tc>
        <w:tc>
          <w:tcPr>
            <w:tcW w:w="2466" w:type="dxa"/>
            <w:vAlign w:val="center"/>
          </w:tcPr>
          <w:p>
            <w:pPr>
              <w:pStyle w:val="13"/>
            </w:pPr>
            <w:r>
              <w:t>≤7.99万元</w:t>
            </w:r>
          </w:p>
        </w:tc>
        <w:tc>
          <w:tcPr>
            <w:tcW w:w="2466" w:type="dxa"/>
            <w:vAlign w:val="center"/>
          </w:tcPr>
          <w:p>
            <w:pPr>
              <w:pStyle w:val="13"/>
            </w:pPr>
            <w:r>
              <w:t>2021年合同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软件维护成本</w:t>
            </w:r>
          </w:p>
        </w:tc>
        <w:tc>
          <w:tcPr>
            <w:tcW w:w="2466" w:type="dxa"/>
            <w:vAlign w:val="center"/>
          </w:tcPr>
          <w:p>
            <w:pPr>
              <w:pStyle w:val="13"/>
            </w:pPr>
            <w:r>
              <w:t>软件维护使用支付成本费用</w:t>
            </w:r>
          </w:p>
        </w:tc>
        <w:tc>
          <w:tcPr>
            <w:tcW w:w="2466" w:type="dxa"/>
            <w:vAlign w:val="center"/>
          </w:tcPr>
          <w:p>
            <w:pPr>
              <w:pStyle w:val="13"/>
            </w:pPr>
            <w:r>
              <w:t>≤4.86万元</w:t>
            </w:r>
          </w:p>
        </w:tc>
        <w:tc>
          <w:tcPr>
            <w:tcW w:w="2466" w:type="dxa"/>
            <w:vAlign w:val="center"/>
          </w:tcPr>
          <w:p>
            <w:pPr>
              <w:pStyle w:val="13"/>
            </w:pPr>
            <w:r>
              <w:t>2021年合同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网络改造成本</w:t>
            </w:r>
          </w:p>
        </w:tc>
        <w:tc>
          <w:tcPr>
            <w:tcW w:w="2466" w:type="dxa"/>
            <w:vAlign w:val="center"/>
          </w:tcPr>
          <w:p>
            <w:pPr>
              <w:pStyle w:val="13"/>
            </w:pPr>
            <w:r>
              <w:t>网络改造支付成本费用</w:t>
            </w:r>
          </w:p>
        </w:tc>
        <w:tc>
          <w:tcPr>
            <w:tcW w:w="2466" w:type="dxa"/>
            <w:vAlign w:val="center"/>
          </w:tcPr>
          <w:p>
            <w:pPr>
              <w:pStyle w:val="13"/>
            </w:pPr>
            <w:r>
              <w:t>≤4.97万元</w:t>
            </w:r>
          </w:p>
        </w:tc>
        <w:tc>
          <w:tcPr>
            <w:tcW w:w="2466" w:type="dxa"/>
            <w:vAlign w:val="center"/>
          </w:tcPr>
          <w:p>
            <w:pPr>
              <w:pStyle w:val="13"/>
            </w:pPr>
            <w:r>
              <w:t>2021年合同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保障局机关设备运行率</w:t>
            </w:r>
          </w:p>
        </w:tc>
        <w:tc>
          <w:tcPr>
            <w:tcW w:w="2466" w:type="dxa"/>
            <w:vAlign w:val="center"/>
          </w:tcPr>
          <w:p>
            <w:pPr>
              <w:pStyle w:val="13"/>
            </w:pPr>
            <w:r>
              <w:t>保障医保工作正常开展</w:t>
            </w:r>
          </w:p>
        </w:tc>
        <w:tc>
          <w:tcPr>
            <w:tcW w:w="2466" w:type="dxa"/>
            <w:vAlign w:val="center"/>
          </w:tcPr>
          <w:p>
            <w:pPr>
              <w:pStyle w:val="13"/>
            </w:pPr>
            <w:r>
              <w:t>≥95比率</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设备使用年限</w:t>
            </w:r>
          </w:p>
        </w:tc>
        <w:tc>
          <w:tcPr>
            <w:tcW w:w="2466" w:type="dxa"/>
            <w:vAlign w:val="center"/>
          </w:tcPr>
          <w:p>
            <w:pPr>
              <w:pStyle w:val="13"/>
            </w:pPr>
            <w:r>
              <w:t>设备使用年限增加</w:t>
            </w:r>
          </w:p>
        </w:tc>
        <w:tc>
          <w:tcPr>
            <w:tcW w:w="2466" w:type="dxa"/>
            <w:vAlign w:val="center"/>
          </w:tcPr>
          <w:p>
            <w:pPr>
              <w:pStyle w:val="13"/>
            </w:pPr>
            <w:r>
              <w:t>≥1年</w:t>
            </w:r>
          </w:p>
        </w:tc>
        <w:tc>
          <w:tcPr>
            <w:tcW w:w="2466" w:type="dxa"/>
            <w:vAlign w:val="center"/>
          </w:tcPr>
          <w:p>
            <w:pPr>
              <w:pStyle w:val="13"/>
            </w:pPr>
            <w:r>
              <w:t>合同服务内容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用户使用满意度</w:t>
            </w:r>
          </w:p>
        </w:tc>
        <w:tc>
          <w:tcPr>
            <w:tcW w:w="2466" w:type="dxa"/>
            <w:vAlign w:val="center"/>
          </w:tcPr>
          <w:p>
            <w:pPr>
              <w:pStyle w:val="13"/>
            </w:pPr>
            <w:r>
              <w:t>调查中用户反馈满意和较满意的数量占调查用户总数量的比率</w:t>
            </w:r>
          </w:p>
        </w:tc>
        <w:tc>
          <w:tcPr>
            <w:tcW w:w="2466" w:type="dxa"/>
            <w:vAlign w:val="center"/>
          </w:tcPr>
          <w:p>
            <w:pPr>
              <w:pStyle w:val="13"/>
            </w:pPr>
            <w:r>
              <w:t>≥95比率</w:t>
            </w:r>
          </w:p>
        </w:tc>
        <w:tc>
          <w:tcPr>
            <w:tcW w:w="2466" w:type="dxa"/>
            <w:vAlign w:val="center"/>
          </w:tcPr>
          <w:p>
            <w:pPr>
              <w:pStyle w:val="13"/>
            </w:pPr>
            <w:r>
              <w:t>调查问卷</w:t>
            </w:r>
          </w:p>
        </w:tc>
      </w:tr>
    </w:tbl>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5、医保基金监管专项检查经费绩效目标表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1.通过开展此项工作，加强定点医药机构及参保人员医疗稽核管理，提升经办人员稽核业务能力，确保医保基金安全。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检查对象（医院）</w:t>
            </w:r>
          </w:p>
        </w:tc>
        <w:tc>
          <w:tcPr>
            <w:tcW w:w="2466" w:type="dxa"/>
            <w:vAlign w:val="center"/>
          </w:tcPr>
          <w:p>
            <w:pPr>
              <w:pStyle w:val="13"/>
            </w:pPr>
            <w:r>
              <w:t>检查定点医院数量</w:t>
            </w:r>
          </w:p>
        </w:tc>
        <w:tc>
          <w:tcPr>
            <w:tcW w:w="2466" w:type="dxa"/>
            <w:vAlign w:val="center"/>
          </w:tcPr>
          <w:p>
            <w:pPr>
              <w:pStyle w:val="13"/>
            </w:pPr>
            <w:r>
              <w:t>≥71个</w:t>
            </w:r>
          </w:p>
        </w:tc>
        <w:tc>
          <w:tcPr>
            <w:tcW w:w="2466" w:type="dxa"/>
            <w:vAlign w:val="center"/>
          </w:tcPr>
          <w:p>
            <w:pPr>
              <w:pStyle w:val="13"/>
            </w:pPr>
            <w:r>
              <w:t>2021年计划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数量指标</w:t>
            </w:r>
          </w:p>
        </w:tc>
        <w:tc>
          <w:tcPr>
            <w:tcW w:w="2466" w:type="dxa"/>
            <w:vAlign w:val="center"/>
          </w:tcPr>
          <w:p>
            <w:pPr>
              <w:pStyle w:val="13"/>
            </w:pPr>
            <w:r>
              <w:t>监察对象（药店）</w:t>
            </w:r>
          </w:p>
        </w:tc>
        <w:tc>
          <w:tcPr>
            <w:tcW w:w="2466" w:type="dxa"/>
            <w:vAlign w:val="center"/>
          </w:tcPr>
          <w:p>
            <w:pPr>
              <w:pStyle w:val="13"/>
            </w:pPr>
            <w:r>
              <w:t>检查定点药店数量</w:t>
            </w:r>
          </w:p>
        </w:tc>
        <w:tc>
          <w:tcPr>
            <w:tcW w:w="2466" w:type="dxa"/>
            <w:vAlign w:val="center"/>
          </w:tcPr>
          <w:p>
            <w:pPr>
              <w:pStyle w:val="13"/>
            </w:pPr>
            <w:r>
              <w:t>≥8个</w:t>
            </w:r>
          </w:p>
        </w:tc>
        <w:tc>
          <w:tcPr>
            <w:tcW w:w="2466" w:type="dxa"/>
            <w:vAlign w:val="center"/>
          </w:tcPr>
          <w:p>
            <w:pPr>
              <w:pStyle w:val="13"/>
            </w:pPr>
            <w:r>
              <w:t>2021年计划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抽查覆盖情况</w:t>
            </w:r>
          </w:p>
        </w:tc>
        <w:tc>
          <w:tcPr>
            <w:tcW w:w="2466" w:type="dxa"/>
            <w:vAlign w:val="center"/>
          </w:tcPr>
          <w:p>
            <w:pPr>
              <w:pStyle w:val="13"/>
            </w:pPr>
            <w:r>
              <w:t>检查定点医药机构覆盖率</w:t>
            </w:r>
          </w:p>
        </w:tc>
        <w:tc>
          <w:tcPr>
            <w:tcW w:w="2466" w:type="dxa"/>
            <w:vAlign w:val="center"/>
          </w:tcPr>
          <w:p>
            <w:pPr>
              <w:pStyle w:val="13"/>
            </w:pPr>
            <w:r>
              <w:t>100%</w:t>
            </w:r>
          </w:p>
        </w:tc>
        <w:tc>
          <w:tcPr>
            <w:tcW w:w="2466" w:type="dxa"/>
            <w:vAlign w:val="center"/>
          </w:tcPr>
          <w:p>
            <w:pPr>
              <w:pStyle w:val="13"/>
            </w:pPr>
            <w:r>
              <w:t>2021年计划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问题整改率</w:t>
            </w:r>
          </w:p>
        </w:tc>
        <w:tc>
          <w:tcPr>
            <w:tcW w:w="2466" w:type="dxa"/>
            <w:vAlign w:val="center"/>
          </w:tcPr>
          <w:p>
            <w:pPr>
              <w:pStyle w:val="13"/>
            </w:pPr>
            <w:r>
              <w:t>反映监督检查发现问题的整改情况</w:t>
            </w:r>
          </w:p>
        </w:tc>
        <w:tc>
          <w:tcPr>
            <w:tcW w:w="2466" w:type="dxa"/>
            <w:vAlign w:val="center"/>
          </w:tcPr>
          <w:p>
            <w:pPr>
              <w:pStyle w:val="13"/>
            </w:pPr>
            <w:r>
              <w:t>≥100%</w:t>
            </w:r>
          </w:p>
        </w:tc>
        <w:tc>
          <w:tcPr>
            <w:tcW w:w="2466" w:type="dxa"/>
            <w:vAlign w:val="center"/>
          </w:tcPr>
          <w:p>
            <w:pPr>
              <w:pStyle w:val="13"/>
            </w:pPr>
            <w:r>
              <w:t>检查报告、整改报告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监管工作及时率</w:t>
            </w:r>
          </w:p>
        </w:tc>
        <w:tc>
          <w:tcPr>
            <w:tcW w:w="2466" w:type="dxa"/>
            <w:vAlign w:val="center"/>
          </w:tcPr>
          <w:p>
            <w:pPr>
              <w:pStyle w:val="13"/>
            </w:pPr>
            <w:r>
              <w:t>监管工作按时完成时间</w:t>
            </w:r>
          </w:p>
        </w:tc>
        <w:tc>
          <w:tcPr>
            <w:tcW w:w="2466" w:type="dxa"/>
            <w:vAlign w:val="center"/>
          </w:tcPr>
          <w:p>
            <w:pPr>
              <w:pStyle w:val="13"/>
            </w:pPr>
            <w:r>
              <w:t>100%</w:t>
            </w:r>
          </w:p>
        </w:tc>
        <w:tc>
          <w:tcPr>
            <w:tcW w:w="2466" w:type="dxa"/>
            <w:vAlign w:val="center"/>
          </w:tcPr>
          <w:p>
            <w:pPr>
              <w:pStyle w:val="13"/>
            </w:pPr>
            <w:r>
              <w:t>2021年计划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单位成本（医院）</w:t>
            </w:r>
          </w:p>
        </w:tc>
        <w:tc>
          <w:tcPr>
            <w:tcW w:w="2466" w:type="dxa"/>
            <w:vAlign w:val="center"/>
          </w:tcPr>
          <w:p>
            <w:pPr>
              <w:pStyle w:val="13"/>
            </w:pPr>
            <w:r>
              <w:t>核查经费成本</w:t>
            </w:r>
          </w:p>
        </w:tc>
        <w:tc>
          <w:tcPr>
            <w:tcW w:w="2466" w:type="dxa"/>
            <w:vAlign w:val="center"/>
          </w:tcPr>
          <w:p>
            <w:pPr>
              <w:pStyle w:val="13"/>
            </w:pPr>
            <w:r>
              <w:t>≤3950元</w:t>
            </w:r>
          </w:p>
        </w:tc>
        <w:tc>
          <w:tcPr>
            <w:tcW w:w="2466" w:type="dxa"/>
            <w:vAlign w:val="center"/>
          </w:tcPr>
          <w:p>
            <w:pPr>
              <w:pStyle w:val="13"/>
            </w:pPr>
            <w:r>
              <w:t>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单位成本（药店）</w:t>
            </w:r>
          </w:p>
        </w:tc>
        <w:tc>
          <w:tcPr>
            <w:tcW w:w="2466" w:type="dxa"/>
            <w:vAlign w:val="center"/>
          </w:tcPr>
          <w:p>
            <w:pPr>
              <w:pStyle w:val="13"/>
            </w:pPr>
            <w:r>
              <w:t>核查经费成本</w:t>
            </w:r>
          </w:p>
        </w:tc>
        <w:tc>
          <w:tcPr>
            <w:tcW w:w="2466" w:type="dxa"/>
            <w:vAlign w:val="center"/>
          </w:tcPr>
          <w:p>
            <w:pPr>
              <w:pStyle w:val="13"/>
            </w:pPr>
            <w:r>
              <w:t>≤400元</w:t>
            </w:r>
          </w:p>
        </w:tc>
        <w:tc>
          <w:tcPr>
            <w:tcW w:w="2466" w:type="dxa"/>
            <w:vAlign w:val="center"/>
          </w:tcPr>
          <w:p>
            <w:pPr>
              <w:pStyle w:val="13"/>
            </w:pPr>
            <w:r>
              <w:t>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保障率</w:t>
            </w:r>
          </w:p>
        </w:tc>
        <w:tc>
          <w:tcPr>
            <w:tcW w:w="2466" w:type="dxa"/>
            <w:vAlign w:val="center"/>
          </w:tcPr>
          <w:p>
            <w:pPr>
              <w:pStyle w:val="13"/>
            </w:pPr>
            <w:r>
              <w:t>基金安全保障率</w:t>
            </w:r>
          </w:p>
        </w:tc>
        <w:tc>
          <w:tcPr>
            <w:tcW w:w="2466" w:type="dxa"/>
            <w:vAlign w:val="center"/>
          </w:tcPr>
          <w:p>
            <w:pPr>
              <w:pStyle w:val="13"/>
            </w:pPr>
            <w:r>
              <w:t>≥100%</w:t>
            </w:r>
          </w:p>
        </w:tc>
        <w:tc>
          <w:tcPr>
            <w:tcW w:w="2466" w:type="dxa"/>
            <w:vAlign w:val="center"/>
          </w:tcPr>
          <w:p>
            <w:pPr>
              <w:pStyle w:val="13"/>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案件发生概率</w:t>
            </w:r>
          </w:p>
        </w:tc>
        <w:tc>
          <w:tcPr>
            <w:tcW w:w="2466" w:type="dxa"/>
            <w:vAlign w:val="center"/>
          </w:tcPr>
          <w:p>
            <w:pPr>
              <w:pStyle w:val="13"/>
            </w:pPr>
            <w:r>
              <w:t>通过检查进一步扩大影响，降低案件发生概率</w:t>
            </w:r>
          </w:p>
        </w:tc>
        <w:tc>
          <w:tcPr>
            <w:tcW w:w="2466" w:type="dxa"/>
            <w:vAlign w:val="center"/>
          </w:tcPr>
          <w:p>
            <w:pPr>
              <w:pStyle w:val="13"/>
            </w:pPr>
            <w:r>
              <w:t>≤10%</w:t>
            </w:r>
          </w:p>
        </w:tc>
        <w:tc>
          <w:tcPr>
            <w:tcW w:w="2466" w:type="dxa"/>
            <w:vAlign w:val="center"/>
          </w:tcPr>
          <w:p>
            <w:pPr>
              <w:pStyle w:val="13"/>
            </w:pPr>
            <w:r>
              <w:t>检查报告、整改报告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群众满意度</w:t>
            </w:r>
          </w:p>
        </w:tc>
        <w:tc>
          <w:tcPr>
            <w:tcW w:w="2466" w:type="dxa"/>
            <w:vAlign w:val="center"/>
          </w:tcPr>
          <w:p>
            <w:pPr>
              <w:pStyle w:val="13"/>
            </w:pPr>
            <w:r>
              <w:t>群众工满意率</w:t>
            </w:r>
          </w:p>
        </w:tc>
        <w:tc>
          <w:tcPr>
            <w:tcW w:w="2466" w:type="dxa"/>
            <w:vAlign w:val="center"/>
          </w:tcPr>
          <w:p>
            <w:pPr>
              <w:pStyle w:val="13"/>
            </w:pPr>
            <w:r>
              <w:t>≥90百分比</w:t>
            </w:r>
          </w:p>
        </w:tc>
        <w:tc>
          <w:tcPr>
            <w:tcW w:w="246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6、医保经办业务保障经费绩效目标表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1.保障医保事业管理中心业务正常开展运行，各项惠民报销政策严格落实，最大程度满足参保单位及城乡参保居民的需求，提升医保工作服务水平，提升广大人民群众满意度。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政策宣传册数量</w:t>
            </w:r>
          </w:p>
        </w:tc>
        <w:tc>
          <w:tcPr>
            <w:tcW w:w="2466" w:type="dxa"/>
            <w:vAlign w:val="center"/>
          </w:tcPr>
          <w:p>
            <w:pPr>
              <w:pStyle w:val="13"/>
            </w:pPr>
            <w:r>
              <w:t>医保政策宣传册3万册</w:t>
            </w:r>
          </w:p>
        </w:tc>
        <w:tc>
          <w:tcPr>
            <w:tcW w:w="2466" w:type="dxa"/>
            <w:vAlign w:val="center"/>
          </w:tcPr>
          <w:p>
            <w:pPr>
              <w:pStyle w:val="13"/>
            </w:pPr>
            <w:r>
              <w:t>≥3万册</w:t>
            </w:r>
          </w:p>
        </w:tc>
        <w:tc>
          <w:tcPr>
            <w:tcW w:w="2466" w:type="dxa"/>
            <w:vAlign w:val="center"/>
          </w:tcPr>
          <w:p>
            <w:pPr>
              <w:pStyle w:val="13"/>
            </w:pPr>
            <w:r>
              <w:t>廊医保规（2019）10号；廊政办[2016]77号；2022年购买计划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数量指标</w:t>
            </w:r>
          </w:p>
        </w:tc>
        <w:tc>
          <w:tcPr>
            <w:tcW w:w="2466" w:type="dxa"/>
            <w:vAlign w:val="center"/>
          </w:tcPr>
          <w:p>
            <w:pPr>
              <w:pStyle w:val="13"/>
            </w:pPr>
            <w:r>
              <w:t>聘请专家次数</w:t>
            </w:r>
          </w:p>
        </w:tc>
        <w:tc>
          <w:tcPr>
            <w:tcW w:w="2466" w:type="dxa"/>
            <w:vAlign w:val="center"/>
          </w:tcPr>
          <w:p>
            <w:pPr>
              <w:pStyle w:val="13"/>
            </w:pPr>
            <w:r>
              <w:t>聘请专家次数</w:t>
            </w:r>
          </w:p>
        </w:tc>
        <w:tc>
          <w:tcPr>
            <w:tcW w:w="2466" w:type="dxa"/>
            <w:vAlign w:val="center"/>
          </w:tcPr>
          <w:p>
            <w:pPr>
              <w:pStyle w:val="13"/>
            </w:pPr>
            <w:r>
              <w:t>≥6次数</w:t>
            </w:r>
          </w:p>
        </w:tc>
        <w:tc>
          <w:tcPr>
            <w:tcW w:w="2466" w:type="dxa"/>
            <w:vAlign w:val="center"/>
          </w:tcPr>
          <w:p>
            <w:pPr>
              <w:pStyle w:val="13"/>
            </w:pPr>
            <w:r>
              <w:t>2022年计划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宣传覆盖率</w:t>
            </w:r>
          </w:p>
        </w:tc>
        <w:tc>
          <w:tcPr>
            <w:tcW w:w="2466" w:type="dxa"/>
            <w:vAlign w:val="center"/>
          </w:tcPr>
          <w:p>
            <w:pPr>
              <w:pStyle w:val="13"/>
            </w:pPr>
            <w:r>
              <w:t>政策宣传覆盖到的人数与我县应保人数的比例</w:t>
            </w:r>
          </w:p>
        </w:tc>
        <w:tc>
          <w:tcPr>
            <w:tcW w:w="2466" w:type="dxa"/>
            <w:vAlign w:val="center"/>
          </w:tcPr>
          <w:p>
            <w:pPr>
              <w:pStyle w:val="13"/>
            </w:pPr>
            <w:r>
              <w:t>≥95百分比</w:t>
            </w:r>
          </w:p>
        </w:tc>
        <w:tc>
          <w:tcPr>
            <w:tcW w:w="2466" w:type="dxa"/>
            <w:vAlign w:val="center"/>
          </w:tcPr>
          <w:p>
            <w:pPr>
              <w:pStyle w:val="13"/>
            </w:pPr>
            <w:r>
              <w:t>2021年报销人次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及时率</w:t>
            </w:r>
          </w:p>
        </w:tc>
        <w:tc>
          <w:tcPr>
            <w:tcW w:w="2466" w:type="dxa"/>
            <w:vAlign w:val="center"/>
          </w:tcPr>
          <w:p>
            <w:pPr>
              <w:pStyle w:val="13"/>
            </w:pPr>
            <w:r>
              <w:t>宣传及时率</w:t>
            </w:r>
          </w:p>
        </w:tc>
        <w:tc>
          <w:tcPr>
            <w:tcW w:w="2466" w:type="dxa"/>
            <w:vAlign w:val="center"/>
          </w:tcPr>
          <w:p>
            <w:pPr>
              <w:pStyle w:val="13"/>
            </w:pPr>
            <w:r>
              <w:t>≥100百分比</w:t>
            </w:r>
          </w:p>
        </w:tc>
        <w:tc>
          <w:tcPr>
            <w:tcW w:w="246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及时率</w:t>
            </w:r>
          </w:p>
        </w:tc>
        <w:tc>
          <w:tcPr>
            <w:tcW w:w="2466" w:type="dxa"/>
            <w:vAlign w:val="center"/>
          </w:tcPr>
          <w:p>
            <w:pPr>
              <w:pStyle w:val="13"/>
            </w:pPr>
            <w:r>
              <w:t>聘请专家及时率</w:t>
            </w:r>
          </w:p>
        </w:tc>
        <w:tc>
          <w:tcPr>
            <w:tcW w:w="2466" w:type="dxa"/>
            <w:vAlign w:val="center"/>
          </w:tcPr>
          <w:p>
            <w:pPr>
              <w:pStyle w:val="13"/>
            </w:pPr>
            <w:r>
              <w:t>≥100百分比</w:t>
            </w:r>
          </w:p>
        </w:tc>
        <w:tc>
          <w:tcPr>
            <w:tcW w:w="246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专家成本</w:t>
            </w:r>
          </w:p>
        </w:tc>
        <w:tc>
          <w:tcPr>
            <w:tcW w:w="2466" w:type="dxa"/>
            <w:vAlign w:val="center"/>
          </w:tcPr>
          <w:p>
            <w:pPr>
              <w:pStyle w:val="13"/>
            </w:pPr>
            <w:r>
              <w:t>聘请专家费用成本</w:t>
            </w:r>
          </w:p>
        </w:tc>
        <w:tc>
          <w:tcPr>
            <w:tcW w:w="2466" w:type="dxa"/>
            <w:vAlign w:val="center"/>
          </w:tcPr>
          <w:p>
            <w:pPr>
              <w:pStyle w:val="13"/>
            </w:pPr>
            <w:r>
              <w:t>≤1.48万元</w:t>
            </w:r>
          </w:p>
        </w:tc>
        <w:tc>
          <w:tcPr>
            <w:tcW w:w="2466" w:type="dxa"/>
            <w:vAlign w:val="center"/>
          </w:tcPr>
          <w:p>
            <w:pPr>
              <w:pStyle w:val="13"/>
            </w:pPr>
            <w:r>
              <w:t>2022年计划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宣传册单位成本</w:t>
            </w:r>
          </w:p>
        </w:tc>
        <w:tc>
          <w:tcPr>
            <w:tcW w:w="2466" w:type="dxa"/>
            <w:vAlign w:val="center"/>
          </w:tcPr>
          <w:p>
            <w:pPr>
              <w:pStyle w:val="13"/>
            </w:pPr>
            <w:r>
              <w:t>制作宣传册单位成本</w:t>
            </w:r>
          </w:p>
        </w:tc>
        <w:tc>
          <w:tcPr>
            <w:tcW w:w="2466" w:type="dxa"/>
            <w:vAlign w:val="center"/>
          </w:tcPr>
          <w:p>
            <w:pPr>
              <w:pStyle w:val="13"/>
            </w:pPr>
            <w:r>
              <w:t>≤1.5元/本</w:t>
            </w:r>
          </w:p>
        </w:tc>
        <w:tc>
          <w:tcPr>
            <w:tcW w:w="2466" w:type="dxa"/>
            <w:vAlign w:val="center"/>
          </w:tcPr>
          <w:p>
            <w:pPr>
              <w:pStyle w:val="13"/>
            </w:pPr>
            <w:r>
              <w:t>2022年计划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医保政策知晓率</w:t>
            </w:r>
          </w:p>
        </w:tc>
        <w:tc>
          <w:tcPr>
            <w:tcW w:w="2466" w:type="dxa"/>
            <w:vAlign w:val="center"/>
          </w:tcPr>
          <w:p>
            <w:pPr>
              <w:pStyle w:val="13"/>
            </w:pPr>
            <w:r>
              <w:t>参保人群和定点医疗机构对医保政策的知晓程度</w:t>
            </w:r>
          </w:p>
        </w:tc>
        <w:tc>
          <w:tcPr>
            <w:tcW w:w="2466" w:type="dxa"/>
            <w:vAlign w:val="center"/>
          </w:tcPr>
          <w:p>
            <w:pPr>
              <w:pStyle w:val="13"/>
            </w:pPr>
            <w:r>
              <w:t>≥90百分比</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国家全民医保政策支持率</w:t>
            </w:r>
          </w:p>
        </w:tc>
        <w:tc>
          <w:tcPr>
            <w:tcW w:w="2466" w:type="dxa"/>
            <w:vAlign w:val="center"/>
          </w:tcPr>
          <w:p>
            <w:pPr>
              <w:pStyle w:val="13"/>
            </w:pPr>
            <w:r>
              <w:t>广大群众对国家全民医保政策支持率</w:t>
            </w:r>
          </w:p>
        </w:tc>
        <w:tc>
          <w:tcPr>
            <w:tcW w:w="2466" w:type="dxa"/>
            <w:vAlign w:val="center"/>
          </w:tcPr>
          <w:p>
            <w:pPr>
              <w:pStyle w:val="13"/>
            </w:pPr>
            <w:r>
              <w:t>≥90百分比</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受益群众满意度</w:t>
            </w:r>
          </w:p>
        </w:tc>
        <w:tc>
          <w:tcPr>
            <w:tcW w:w="2466" w:type="dxa"/>
            <w:vAlign w:val="center"/>
          </w:tcPr>
          <w:p>
            <w:pPr>
              <w:pStyle w:val="13"/>
            </w:pPr>
            <w:r>
              <w:t>受益群众满意程度</w:t>
            </w:r>
          </w:p>
        </w:tc>
        <w:tc>
          <w:tcPr>
            <w:tcW w:w="2466" w:type="dxa"/>
            <w:vAlign w:val="center"/>
          </w:tcPr>
          <w:p>
            <w:pPr>
              <w:pStyle w:val="13"/>
            </w:pPr>
            <w:r>
              <w:t>≥95百分比</w:t>
            </w:r>
          </w:p>
        </w:tc>
        <w:tc>
          <w:tcPr>
            <w:tcW w:w="246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7、医疗保障服务经费绩效目标表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1.通过政府购买服务，从而实现各项业务高效开展，业务保障能力明显提高。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（医疗保险报销结算）服务人数</w:t>
            </w:r>
          </w:p>
        </w:tc>
        <w:tc>
          <w:tcPr>
            <w:tcW w:w="2466" w:type="dxa"/>
            <w:vAlign w:val="center"/>
          </w:tcPr>
          <w:p>
            <w:pPr>
              <w:pStyle w:val="13"/>
            </w:pPr>
            <w:r>
              <w:t>购买医疗保险报销结算岗位人数</w:t>
            </w:r>
          </w:p>
        </w:tc>
        <w:tc>
          <w:tcPr>
            <w:tcW w:w="2466" w:type="dxa"/>
            <w:vAlign w:val="center"/>
          </w:tcPr>
          <w:p>
            <w:pPr>
              <w:pStyle w:val="13"/>
            </w:pPr>
            <w:r>
              <w:t>≥17名</w:t>
            </w:r>
          </w:p>
        </w:tc>
        <w:tc>
          <w:tcPr>
            <w:tcW w:w="2466" w:type="dxa"/>
            <w:vAlign w:val="center"/>
          </w:tcPr>
          <w:p>
            <w:pPr>
              <w:pStyle w:val="13"/>
            </w:pPr>
            <w:r>
              <w:t>2019年11月1日县长办公会会议纪要第104号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工资保险发放准确性</w:t>
            </w:r>
          </w:p>
        </w:tc>
        <w:tc>
          <w:tcPr>
            <w:tcW w:w="2466" w:type="dxa"/>
            <w:vAlign w:val="center"/>
          </w:tcPr>
          <w:p>
            <w:pPr>
              <w:pStyle w:val="13"/>
            </w:pPr>
            <w:r>
              <w:t>工资保险发放精准性</w:t>
            </w:r>
          </w:p>
        </w:tc>
        <w:tc>
          <w:tcPr>
            <w:tcW w:w="2466" w:type="dxa"/>
            <w:vAlign w:val="center"/>
          </w:tcPr>
          <w:p>
            <w:pPr>
              <w:pStyle w:val="13"/>
            </w:pPr>
            <w:r>
              <w:t>≥100%</w:t>
            </w:r>
          </w:p>
        </w:tc>
        <w:tc>
          <w:tcPr>
            <w:tcW w:w="2466" w:type="dxa"/>
            <w:vAlign w:val="center"/>
          </w:tcPr>
          <w:p>
            <w:pPr>
              <w:pStyle w:val="13"/>
            </w:pPr>
            <w:r>
              <w:t>城乡居民医保实际工作需要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合格率</w:t>
            </w:r>
          </w:p>
        </w:tc>
        <w:tc>
          <w:tcPr>
            <w:tcW w:w="2466" w:type="dxa"/>
            <w:vAlign w:val="center"/>
          </w:tcPr>
          <w:p>
            <w:pPr>
              <w:pStyle w:val="13"/>
            </w:pPr>
            <w:r>
              <w:t>服务人员工作合格率</w:t>
            </w:r>
          </w:p>
        </w:tc>
        <w:tc>
          <w:tcPr>
            <w:tcW w:w="2466" w:type="dxa"/>
            <w:vAlign w:val="center"/>
          </w:tcPr>
          <w:p>
            <w:pPr>
              <w:pStyle w:val="13"/>
            </w:pPr>
            <w:r>
              <w:t>≥100%</w:t>
            </w:r>
          </w:p>
        </w:tc>
        <w:tc>
          <w:tcPr>
            <w:tcW w:w="2466" w:type="dxa"/>
            <w:vAlign w:val="center"/>
          </w:tcPr>
          <w:p>
            <w:pPr>
              <w:pStyle w:val="13"/>
            </w:pPr>
            <w:r>
              <w:t>2022年考核记录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工资发放及时性</w:t>
            </w:r>
          </w:p>
        </w:tc>
        <w:tc>
          <w:tcPr>
            <w:tcW w:w="2466" w:type="dxa"/>
            <w:vAlign w:val="center"/>
          </w:tcPr>
          <w:p>
            <w:pPr>
              <w:pStyle w:val="13"/>
            </w:pPr>
            <w:r>
              <w:t>每月工资发放是否及时</w:t>
            </w:r>
          </w:p>
        </w:tc>
        <w:tc>
          <w:tcPr>
            <w:tcW w:w="2466" w:type="dxa"/>
            <w:vAlign w:val="center"/>
          </w:tcPr>
          <w:p>
            <w:pPr>
              <w:pStyle w:val="13"/>
            </w:pPr>
            <w:r>
              <w:t>≤30天</w:t>
            </w:r>
          </w:p>
        </w:tc>
        <w:tc>
          <w:tcPr>
            <w:tcW w:w="2466" w:type="dxa"/>
            <w:vAlign w:val="center"/>
          </w:tcPr>
          <w:p>
            <w:pPr>
              <w:pStyle w:val="13"/>
            </w:pPr>
            <w:r>
              <w:t>根据以往发放情况及工资发放计划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费用总成本</w:t>
            </w:r>
          </w:p>
        </w:tc>
        <w:tc>
          <w:tcPr>
            <w:tcW w:w="2466" w:type="dxa"/>
            <w:vAlign w:val="center"/>
          </w:tcPr>
          <w:p>
            <w:pPr>
              <w:pStyle w:val="13"/>
            </w:pPr>
            <w:r>
              <w:t>费用总成本（工资+保险+管理费）</w:t>
            </w:r>
          </w:p>
        </w:tc>
        <w:tc>
          <w:tcPr>
            <w:tcW w:w="2466" w:type="dxa"/>
            <w:vAlign w:val="center"/>
          </w:tcPr>
          <w:p>
            <w:pPr>
              <w:pStyle w:val="13"/>
            </w:pPr>
            <w:r>
              <w:t>≤88万元</w:t>
            </w:r>
          </w:p>
        </w:tc>
        <w:tc>
          <w:tcPr>
            <w:tcW w:w="2466" w:type="dxa"/>
            <w:vAlign w:val="center"/>
          </w:tcPr>
          <w:p>
            <w:pPr>
              <w:pStyle w:val="13"/>
            </w:pPr>
            <w:r>
              <w:t>保持购买服务人员队伍稳定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运行率</w:t>
            </w:r>
          </w:p>
        </w:tc>
        <w:tc>
          <w:tcPr>
            <w:tcW w:w="2466" w:type="dxa"/>
            <w:vAlign w:val="center"/>
          </w:tcPr>
          <w:p>
            <w:pPr>
              <w:pStyle w:val="13"/>
            </w:pPr>
            <w:r>
              <w:t>医保工作正常开展情况</w:t>
            </w:r>
          </w:p>
        </w:tc>
        <w:tc>
          <w:tcPr>
            <w:tcW w:w="2466" w:type="dxa"/>
            <w:vAlign w:val="center"/>
          </w:tcPr>
          <w:p>
            <w:pPr>
              <w:pStyle w:val="13"/>
            </w:pPr>
            <w:r>
              <w:t>≥95%</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减轻日常医保工作压力</w:t>
            </w:r>
          </w:p>
        </w:tc>
        <w:tc>
          <w:tcPr>
            <w:tcW w:w="2466" w:type="dxa"/>
            <w:vAlign w:val="center"/>
          </w:tcPr>
          <w:p>
            <w:pPr>
              <w:pStyle w:val="13"/>
            </w:pPr>
            <w:r>
              <w:t>减轻工作压力</w:t>
            </w:r>
          </w:p>
        </w:tc>
        <w:tc>
          <w:tcPr>
            <w:tcW w:w="2466" w:type="dxa"/>
            <w:vAlign w:val="center"/>
          </w:tcPr>
          <w:p>
            <w:pPr>
              <w:pStyle w:val="13"/>
            </w:pPr>
            <w:r>
              <w:t>减轻</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服务对象满意度</w:t>
            </w:r>
          </w:p>
        </w:tc>
        <w:tc>
          <w:tcPr>
            <w:tcW w:w="2466" w:type="dxa"/>
            <w:vAlign w:val="center"/>
          </w:tcPr>
          <w:p>
            <w:pPr>
              <w:pStyle w:val="13"/>
            </w:pPr>
            <w:r>
              <w:t>服务对象满意度</w:t>
            </w:r>
          </w:p>
        </w:tc>
        <w:tc>
          <w:tcPr>
            <w:tcW w:w="2466" w:type="dxa"/>
            <w:vAlign w:val="center"/>
          </w:tcPr>
          <w:p>
            <w:pPr>
              <w:pStyle w:val="13"/>
            </w:pPr>
            <w:r>
              <w:t>≥95%</w:t>
            </w:r>
          </w:p>
        </w:tc>
        <w:tc>
          <w:tcPr>
            <w:tcW w:w="246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8、城乡医疗救助资金绩效目标表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1.通过项目的开展，对2022年因医疗负担影响家庭基本生活的辖区内困难群众给予一定的医疗补助，保障困难群众有效减轻就医费用负担。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应补尽补率</w:t>
            </w:r>
          </w:p>
        </w:tc>
        <w:tc>
          <w:tcPr>
            <w:tcW w:w="2466" w:type="dxa"/>
            <w:vAlign w:val="center"/>
          </w:tcPr>
          <w:p>
            <w:pPr>
              <w:pStyle w:val="13"/>
            </w:pPr>
            <w:r>
              <w:t>应补尽补比例</w:t>
            </w:r>
          </w:p>
        </w:tc>
        <w:tc>
          <w:tcPr>
            <w:tcW w:w="2466" w:type="dxa"/>
            <w:vAlign w:val="center"/>
          </w:tcPr>
          <w:p>
            <w:pPr>
              <w:pStyle w:val="13"/>
            </w:pPr>
            <w:r>
              <w:t>≥100%</w:t>
            </w:r>
          </w:p>
        </w:tc>
        <w:tc>
          <w:tcPr>
            <w:tcW w:w="2466" w:type="dxa"/>
            <w:vAlign w:val="center"/>
          </w:tcPr>
          <w:p>
            <w:pPr>
              <w:pStyle w:val="13"/>
            </w:pPr>
            <w:r>
              <w:t>《大厂回族自治县关于进一步规范医疗救助制度全面完善重特大疾病医疗救助工作的实施意见》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医疗救助准确率</w:t>
            </w:r>
          </w:p>
        </w:tc>
        <w:tc>
          <w:tcPr>
            <w:tcW w:w="2466" w:type="dxa"/>
            <w:vAlign w:val="center"/>
          </w:tcPr>
          <w:p>
            <w:pPr>
              <w:pStyle w:val="13"/>
            </w:pPr>
            <w:r>
              <w:t>医疗救助合规人数占医疗救助人数的比例</w:t>
            </w:r>
          </w:p>
        </w:tc>
        <w:tc>
          <w:tcPr>
            <w:tcW w:w="2466" w:type="dxa"/>
            <w:vAlign w:val="center"/>
          </w:tcPr>
          <w:p>
            <w:pPr>
              <w:pStyle w:val="13"/>
            </w:pPr>
            <w:r>
              <w:t>≥100%</w:t>
            </w:r>
          </w:p>
        </w:tc>
        <w:tc>
          <w:tcPr>
            <w:tcW w:w="2466" w:type="dxa"/>
            <w:vAlign w:val="center"/>
          </w:tcPr>
          <w:p>
            <w:pPr>
              <w:pStyle w:val="13"/>
            </w:pPr>
            <w:r>
              <w:t>《大厂回族自治县关于进一步规范医疗救助制度全面完善重特大疾病医疗救助工作的实施意见》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补助发放及时性</w:t>
            </w:r>
          </w:p>
        </w:tc>
        <w:tc>
          <w:tcPr>
            <w:tcW w:w="2466" w:type="dxa"/>
            <w:vAlign w:val="center"/>
          </w:tcPr>
          <w:p>
            <w:pPr>
              <w:pStyle w:val="13"/>
            </w:pPr>
            <w:r>
              <w:t>按季度及时核发</w:t>
            </w:r>
          </w:p>
        </w:tc>
        <w:tc>
          <w:tcPr>
            <w:tcW w:w="2466" w:type="dxa"/>
            <w:vAlign w:val="center"/>
          </w:tcPr>
          <w:p>
            <w:pPr>
              <w:pStyle w:val="13"/>
            </w:pPr>
            <w:r>
              <w:t>≤3月</w:t>
            </w:r>
          </w:p>
        </w:tc>
        <w:tc>
          <w:tcPr>
            <w:tcW w:w="2466" w:type="dxa"/>
            <w:vAlign w:val="center"/>
          </w:tcPr>
          <w:p>
            <w:pPr>
              <w:pStyle w:val="13"/>
            </w:pPr>
            <w:r>
              <w:t>根据项目实际情况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总成本</w:t>
            </w:r>
          </w:p>
        </w:tc>
        <w:tc>
          <w:tcPr>
            <w:tcW w:w="2466" w:type="dxa"/>
            <w:vAlign w:val="center"/>
          </w:tcPr>
          <w:p>
            <w:pPr>
              <w:pStyle w:val="13"/>
            </w:pPr>
            <w:r>
              <w:t>医疗救助资金总成本</w:t>
            </w:r>
          </w:p>
        </w:tc>
        <w:tc>
          <w:tcPr>
            <w:tcW w:w="2466" w:type="dxa"/>
            <w:vAlign w:val="center"/>
          </w:tcPr>
          <w:p>
            <w:pPr>
              <w:pStyle w:val="13"/>
            </w:pPr>
            <w:r>
              <w:t>≤20万元</w:t>
            </w:r>
          </w:p>
        </w:tc>
        <w:tc>
          <w:tcPr>
            <w:tcW w:w="2466" w:type="dxa"/>
            <w:vAlign w:val="center"/>
          </w:tcPr>
          <w:p>
            <w:pPr>
              <w:pStyle w:val="13"/>
            </w:pPr>
            <w:r>
              <w:t>2022年预算文本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就医费用本人负担比率</w:t>
            </w:r>
          </w:p>
        </w:tc>
        <w:tc>
          <w:tcPr>
            <w:tcW w:w="2466" w:type="dxa"/>
            <w:vAlign w:val="center"/>
          </w:tcPr>
          <w:p>
            <w:pPr>
              <w:pStyle w:val="13"/>
            </w:pPr>
            <w:r>
              <w:t>困难群众就医费用压力减小</w:t>
            </w:r>
          </w:p>
        </w:tc>
        <w:tc>
          <w:tcPr>
            <w:tcW w:w="2466" w:type="dxa"/>
            <w:vAlign w:val="center"/>
          </w:tcPr>
          <w:p>
            <w:pPr>
              <w:pStyle w:val="13"/>
            </w:pPr>
            <w:r>
              <w:t>≤20%</w:t>
            </w:r>
          </w:p>
        </w:tc>
        <w:tc>
          <w:tcPr>
            <w:tcW w:w="2466" w:type="dxa"/>
            <w:vAlign w:val="center"/>
          </w:tcPr>
          <w:p>
            <w:pPr>
              <w:pStyle w:val="13"/>
            </w:pPr>
            <w:r>
              <w:t>《大厂回族自治县关于进一步规范医疗救助制度全面完善重特大疾病医疗救助工作的实施意见》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社会效益指标</w:t>
            </w:r>
          </w:p>
        </w:tc>
        <w:tc>
          <w:tcPr>
            <w:tcW w:w="2466" w:type="dxa"/>
            <w:vAlign w:val="center"/>
          </w:tcPr>
          <w:p>
            <w:pPr>
              <w:pStyle w:val="13"/>
            </w:pPr>
            <w:r>
              <w:t>因病返贫人数</w:t>
            </w:r>
          </w:p>
        </w:tc>
        <w:tc>
          <w:tcPr>
            <w:tcW w:w="2466" w:type="dxa"/>
            <w:vAlign w:val="center"/>
          </w:tcPr>
          <w:p>
            <w:pPr>
              <w:pStyle w:val="13"/>
            </w:pPr>
            <w:r>
              <w:t>因病返贫人数</w:t>
            </w:r>
          </w:p>
        </w:tc>
        <w:tc>
          <w:tcPr>
            <w:tcW w:w="2466" w:type="dxa"/>
            <w:vAlign w:val="center"/>
          </w:tcPr>
          <w:p>
            <w:pPr>
              <w:pStyle w:val="13"/>
            </w:pPr>
            <w:r>
              <w:t>&lt;1人</w:t>
            </w:r>
          </w:p>
        </w:tc>
        <w:tc>
          <w:tcPr>
            <w:tcW w:w="2466" w:type="dxa"/>
            <w:vAlign w:val="center"/>
          </w:tcPr>
          <w:p>
            <w:pPr>
              <w:pStyle w:val="13"/>
            </w:pPr>
            <w:r>
              <w:t>2022年实际情况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提高县域医疗保障救助水平</w:t>
            </w:r>
          </w:p>
        </w:tc>
        <w:tc>
          <w:tcPr>
            <w:tcW w:w="2466" w:type="dxa"/>
            <w:vAlign w:val="center"/>
          </w:tcPr>
          <w:p>
            <w:pPr>
              <w:pStyle w:val="13"/>
            </w:pPr>
            <w:r>
              <w:t>提高医疗保障救助水平</w:t>
            </w:r>
          </w:p>
        </w:tc>
        <w:tc>
          <w:tcPr>
            <w:tcW w:w="2466" w:type="dxa"/>
            <w:vAlign w:val="center"/>
          </w:tcPr>
          <w:p>
            <w:pPr>
              <w:pStyle w:val="13"/>
            </w:pPr>
            <w:r>
              <w:t>显著提升</w:t>
            </w:r>
          </w:p>
        </w:tc>
        <w:tc>
          <w:tcPr>
            <w:tcW w:w="246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综合满意度</w:t>
            </w:r>
          </w:p>
        </w:tc>
        <w:tc>
          <w:tcPr>
            <w:tcW w:w="2466" w:type="dxa"/>
            <w:vAlign w:val="center"/>
          </w:tcPr>
          <w:p>
            <w:pPr>
              <w:pStyle w:val="13"/>
            </w:pPr>
            <w:r>
              <w:t>受益群众满意度</w:t>
            </w:r>
          </w:p>
        </w:tc>
        <w:tc>
          <w:tcPr>
            <w:tcW w:w="2466" w:type="dxa"/>
            <w:vAlign w:val="center"/>
          </w:tcPr>
          <w:p>
            <w:pPr>
              <w:pStyle w:val="13"/>
            </w:pPr>
            <w:r>
              <w:t>≥90%</w:t>
            </w:r>
          </w:p>
        </w:tc>
        <w:tc>
          <w:tcPr>
            <w:tcW w:w="246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9、更新购置医保监督执法用车绩效目标表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1.通过更新购置执法用车，保证医保基金监管日常检查、举报受理、调查取证、重点活动保障和突发事件应急处置的工作需要。</w:t>
            </w:r>
          </w:p>
          <w:p>
            <w:pPr>
              <w:pStyle w:val="13"/>
            </w:pPr>
            <w:r>
              <w:t>2.加强医疗保障基金使用监督管理能力建设，为医疗保障基金使用监督管理工作提供保障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购置执法用车数量</w:t>
            </w:r>
          </w:p>
        </w:tc>
        <w:tc>
          <w:tcPr>
            <w:tcW w:w="2466" w:type="dxa"/>
            <w:vAlign w:val="center"/>
          </w:tcPr>
          <w:p>
            <w:pPr>
              <w:pStyle w:val="13"/>
            </w:pPr>
            <w:r>
              <w:t>购置1辆</w:t>
            </w:r>
          </w:p>
        </w:tc>
        <w:tc>
          <w:tcPr>
            <w:tcW w:w="2466" w:type="dxa"/>
            <w:vAlign w:val="center"/>
          </w:tcPr>
          <w:p>
            <w:pPr>
              <w:pStyle w:val="13"/>
            </w:pPr>
            <w:r>
              <w:t>≥1辆</w:t>
            </w:r>
          </w:p>
        </w:tc>
        <w:tc>
          <w:tcPr>
            <w:tcW w:w="2466" w:type="dxa"/>
            <w:vAlign w:val="center"/>
          </w:tcPr>
          <w:p>
            <w:pPr>
              <w:pStyle w:val="13"/>
            </w:pPr>
            <w:r>
              <w:t>报废和购置文件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车辆质量</w:t>
            </w:r>
          </w:p>
        </w:tc>
        <w:tc>
          <w:tcPr>
            <w:tcW w:w="2466" w:type="dxa"/>
            <w:vAlign w:val="center"/>
          </w:tcPr>
          <w:p>
            <w:pPr>
              <w:pStyle w:val="13"/>
            </w:pPr>
            <w:r>
              <w:t>合格比率</w:t>
            </w:r>
          </w:p>
        </w:tc>
        <w:tc>
          <w:tcPr>
            <w:tcW w:w="2466" w:type="dxa"/>
            <w:vAlign w:val="center"/>
          </w:tcPr>
          <w:p>
            <w:pPr>
              <w:pStyle w:val="13"/>
            </w:pPr>
            <w:r>
              <w:t>≥100%</w:t>
            </w:r>
          </w:p>
        </w:tc>
        <w:tc>
          <w:tcPr>
            <w:tcW w:w="2466" w:type="dxa"/>
            <w:vAlign w:val="center"/>
          </w:tcPr>
          <w:p>
            <w:pPr>
              <w:pStyle w:val="13"/>
            </w:pPr>
            <w:r>
              <w:t>车辆合格证及实际使用情况分析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更新购置车辆及时率</w:t>
            </w:r>
          </w:p>
        </w:tc>
        <w:tc>
          <w:tcPr>
            <w:tcW w:w="2466" w:type="dxa"/>
            <w:vAlign w:val="center"/>
          </w:tcPr>
          <w:p>
            <w:pPr>
              <w:pStyle w:val="13"/>
            </w:pPr>
            <w:r>
              <w:t>2022年12月底前更新购置车辆完成</w:t>
            </w:r>
          </w:p>
        </w:tc>
        <w:tc>
          <w:tcPr>
            <w:tcW w:w="2466" w:type="dxa"/>
            <w:vAlign w:val="center"/>
          </w:tcPr>
          <w:p>
            <w:pPr>
              <w:pStyle w:val="13"/>
            </w:pPr>
            <w:r>
              <w:t>12月份</w:t>
            </w:r>
          </w:p>
        </w:tc>
        <w:tc>
          <w:tcPr>
            <w:tcW w:w="2466" w:type="dxa"/>
            <w:vAlign w:val="center"/>
          </w:tcPr>
          <w:p>
            <w:pPr>
              <w:pStyle w:val="13"/>
            </w:pPr>
            <w:r>
              <w:t>购买合同、支出凭证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购置车辆成本</w:t>
            </w:r>
          </w:p>
        </w:tc>
        <w:tc>
          <w:tcPr>
            <w:tcW w:w="2466" w:type="dxa"/>
            <w:vAlign w:val="center"/>
          </w:tcPr>
          <w:p>
            <w:pPr>
              <w:pStyle w:val="13"/>
            </w:pPr>
            <w:r>
              <w:t>购置所需成本是否小于前期预算</w:t>
            </w:r>
          </w:p>
        </w:tc>
        <w:tc>
          <w:tcPr>
            <w:tcW w:w="2466" w:type="dxa"/>
            <w:vAlign w:val="center"/>
          </w:tcPr>
          <w:p>
            <w:pPr>
              <w:pStyle w:val="13"/>
            </w:pPr>
            <w:r>
              <w:t>≦13.6万元</w:t>
            </w:r>
          </w:p>
        </w:tc>
        <w:tc>
          <w:tcPr>
            <w:tcW w:w="2466" w:type="dxa"/>
            <w:vAlign w:val="center"/>
          </w:tcPr>
          <w:p>
            <w:pPr>
              <w:pStyle w:val="13"/>
            </w:pPr>
            <w:r>
              <w:t>询价记录、报价单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车辆使用率</w:t>
            </w:r>
          </w:p>
        </w:tc>
        <w:tc>
          <w:tcPr>
            <w:tcW w:w="2466" w:type="dxa"/>
            <w:vAlign w:val="center"/>
          </w:tcPr>
          <w:p>
            <w:pPr>
              <w:pStyle w:val="13"/>
            </w:pPr>
            <w:r>
              <w:t>车辆使用率</w:t>
            </w:r>
          </w:p>
        </w:tc>
        <w:tc>
          <w:tcPr>
            <w:tcW w:w="2466" w:type="dxa"/>
            <w:vAlign w:val="center"/>
          </w:tcPr>
          <w:p>
            <w:pPr>
              <w:pStyle w:val="13"/>
            </w:pPr>
            <w:r>
              <w:t>≥100%</w:t>
            </w:r>
          </w:p>
        </w:tc>
        <w:tc>
          <w:tcPr>
            <w:tcW w:w="2466" w:type="dxa"/>
            <w:vAlign w:val="center"/>
          </w:tcPr>
          <w:p>
            <w:pPr>
              <w:pStyle w:val="13"/>
            </w:pPr>
            <w:r>
              <w:t>使用台账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设备使用年限</w:t>
            </w:r>
          </w:p>
        </w:tc>
        <w:tc>
          <w:tcPr>
            <w:tcW w:w="2466" w:type="dxa"/>
            <w:vAlign w:val="center"/>
          </w:tcPr>
          <w:p>
            <w:pPr>
              <w:pStyle w:val="13"/>
            </w:pPr>
            <w:r>
              <w:t>设备可使用年限</w:t>
            </w:r>
          </w:p>
        </w:tc>
        <w:tc>
          <w:tcPr>
            <w:tcW w:w="2466" w:type="dxa"/>
            <w:vAlign w:val="center"/>
          </w:tcPr>
          <w:p>
            <w:pPr>
              <w:pStyle w:val="13"/>
            </w:pPr>
            <w:r>
              <w:t>≥8年</w:t>
            </w:r>
          </w:p>
        </w:tc>
        <w:tc>
          <w:tcPr>
            <w:tcW w:w="2466" w:type="dxa"/>
            <w:vAlign w:val="center"/>
          </w:tcPr>
          <w:p>
            <w:pPr>
              <w:pStyle w:val="13"/>
            </w:pPr>
            <w:r>
              <w:t>上一辆车购买记录-报废文件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群众满意度</w:t>
            </w:r>
          </w:p>
        </w:tc>
        <w:tc>
          <w:tcPr>
            <w:tcW w:w="2466" w:type="dxa"/>
            <w:vAlign w:val="center"/>
          </w:tcPr>
          <w:p>
            <w:pPr>
              <w:pStyle w:val="13"/>
            </w:pPr>
            <w:r>
              <w:t>提升执法工作能力和群众满意率</w:t>
            </w:r>
          </w:p>
        </w:tc>
        <w:tc>
          <w:tcPr>
            <w:tcW w:w="2466" w:type="dxa"/>
            <w:vAlign w:val="center"/>
          </w:tcPr>
          <w:p>
            <w:pPr>
              <w:pStyle w:val="13"/>
            </w:pPr>
            <w:r>
              <w:t>≥90%</w:t>
            </w:r>
          </w:p>
        </w:tc>
        <w:tc>
          <w:tcPr>
            <w:tcW w:w="246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10、关于提前下达2022年省级财政城乡居民医保村级代办员补助资金的通知 冀财社（2021）182号绩效目标表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1.通过完成该项目，对105名村级代办员及时发放补助资金，提高代办员工作积极性。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保障代办员人数</w:t>
            </w:r>
          </w:p>
        </w:tc>
        <w:tc>
          <w:tcPr>
            <w:tcW w:w="2466" w:type="dxa"/>
            <w:vAlign w:val="center"/>
          </w:tcPr>
          <w:p>
            <w:pPr>
              <w:pStyle w:val="13"/>
            </w:pPr>
            <w:r>
              <w:t>保障城乡居民医保村级代办员人数</w:t>
            </w:r>
          </w:p>
        </w:tc>
        <w:tc>
          <w:tcPr>
            <w:tcW w:w="2466" w:type="dxa"/>
            <w:vAlign w:val="center"/>
          </w:tcPr>
          <w:p>
            <w:pPr>
              <w:pStyle w:val="13"/>
            </w:pPr>
            <w:r>
              <w:t>≥105人</w:t>
            </w:r>
          </w:p>
        </w:tc>
        <w:tc>
          <w:tcPr>
            <w:tcW w:w="2466" w:type="dxa"/>
            <w:vAlign w:val="center"/>
          </w:tcPr>
          <w:p>
            <w:pPr>
              <w:pStyle w:val="13"/>
            </w:pPr>
            <w:r>
              <w:t>补助金发放表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补贴发放精准率</w:t>
            </w:r>
          </w:p>
        </w:tc>
        <w:tc>
          <w:tcPr>
            <w:tcW w:w="2466" w:type="dxa"/>
            <w:vAlign w:val="center"/>
          </w:tcPr>
          <w:p>
            <w:pPr>
              <w:pStyle w:val="13"/>
            </w:pPr>
            <w:r>
              <w:t>补助、补贴发放合规人数占发放总人数的比例</w:t>
            </w:r>
          </w:p>
        </w:tc>
        <w:tc>
          <w:tcPr>
            <w:tcW w:w="2466" w:type="dxa"/>
            <w:vAlign w:val="center"/>
          </w:tcPr>
          <w:p>
            <w:pPr>
              <w:pStyle w:val="13"/>
            </w:pPr>
            <w:r>
              <w:t>≥100%</w:t>
            </w:r>
          </w:p>
        </w:tc>
        <w:tc>
          <w:tcPr>
            <w:tcW w:w="2466" w:type="dxa"/>
            <w:vAlign w:val="center"/>
          </w:tcPr>
          <w:p>
            <w:pPr>
              <w:pStyle w:val="13"/>
            </w:pPr>
            <w:r>
              <w:t>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发放及时率</w:t>
            </w:r>
          </w:p>
        </w:tc>
        <w:tc>
          <w:tcPr>
            <w:tcW w:w="2466" w:type="dxa"/>
            <w:vAlign w:val="center"/>
          </w:tcPr>
          <w:p>
            <w:pPr>
              <w:pStyle w:val="13"/>
            </w:pPr>
            <w:r>
              <w:t>实际发放时间/应发放时间</w:t>
            </w:r>
          </w:p>
        </w:tc>
        <w:tc>
          <w:tcPr>
            <w:tcW w:w="2466" w:type="dxa"/>
            <w:vAlign w:val="center"/>
          </w:tcPr>
          <w:p>
            <w:pPr>
              <w:pStyle w:val="13"/>
            </w:pPr>
            <w:r>
              <w:t>≥100%</w:t>
            </w:r>
          </w:p>
        </w:tc>
        <w:tc>
          <w:tcPr>
            <w:tcW w:w="2466" w:type="dxa"/>
            <w:vAlign w:val="center"/>
          </w:tcPr>
          <w:p>
            <w:pPr>
              <w:pStyle w:val="13"/>
            </w:pPr>
            <w:r>
              <w:t>根据省级财政厅文件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人均村级居民医疗保险代办员成本</w:t>
            </w:r>
          </w:p>
        </w:tc>
        <w:tc>
          <w:tcPr>
            <w:tcW w:w="2466" w:type="dxa"/>
            <w:vAlign w:val="center"/>
          </w:tcPr>
          <w:p>
            <w:pPr>
              <w:pStyle w:val="13"/>
            </w:pPr>
            <w:r>
              <w:t>人均村级居民医疗保险代办员成本</w:t>
            </w:r>
          </w:p>
        </w:tc>
        <w:tc>
          <w:tcPr>
            <w:tcW w:w="2466" w:type="dxa"/>
            <w:vAlign w:val="center"/>
          </w:tcPr>
          <w:p>
            <w:pPr>
              <w:pStyle w:val="13"/>
            </w:pPr>
            <w:r>
              <w:t>≤183.49元/人</w:t>
            </w:r>
          </w:p>
        </w:tc>
        <w:tc>
          <w:tcPr>
            <w:tcW w:w="2466" w:type="dxa"/>
            <w:vAlign w:val="center"/>
          </w:tcPr>
          <w:p>
            <w:pPr>
              <w:pStyle w:val="13"/>
            </w:pPr>
            <w:r>
              <w:t>补助资金发放明细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提高代办员工作积极性</w:t>
            </w:r>
          </w:p>
        </w:tc>
        <w:tc>
          <w:tcPr>
            <w:tcW w:w="2466" w:type="dxa"/>
            <w:vAlign w:val="center"/>
          </w:tcPr>
          <w:p>
            <w:pPr>
              <w:pStyle w:val="13"/>
            </w:pPr>
            <w:r>
              <w:t>提高代办员积极性</w:t>
            </w:r>
          </w:p>
        </w:tc>
        <w:tc>
          <w:tcPr>
            <w:tcW w:w="2466" w:type="dxa"/>
            <w:vAlign w:val="center"/>
          </w:tcPr>
          <w:p>
            <w:pPr>
              <w:pStyle w:val="13"/>
            </w:pPr>
            <w:r>
              <w:t>有效提高</w:t>
            </w:r>
          </w:p>
        </w:tc>
        <w:tc>
          <w:tcPr>
            <w:tcW w:w="2466" w:type="dxa"/>
            <w:vAlign w:val="center"/>
          </w:tcPr>
          <w:p>
            <w:pPr>
              <w:pStyle w:val="13"/>
            </w:pPr>
            <w:r>
              <w:t>工作方案</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村级代办员补助经费保障年限</w:t>
            </w:r>
          </w:p>
        </w:tc>
        <w:tc>
          <w:tcPr>
            <w:tcW w:w="2466" w:type="dxa"/>
            <w:vAlign w:val="center"/>
          </w:tcPr>
          <w:p>
            <w:pPr>
              <w:pStyle w:val="13"/>
            </w:pPr>
            <w:r>
              <w:t>村级代办员补助经费保障年限性</w:t>
            </w:r>
          </w:p>
        </w:tc>
        <w:tc>
          <w:tcPr>
            <w:tcW w:w="2466" w:type="dxa"/>
            <w:vAlign w:val="center"/>
          </w:tcPr>
          <w:p>
            <w:pPr>
              <w:pStyle w:val="13"/>
            </w:pPr>
            <w:r>
              <w:t>≥1年</w:t>
            </w:r>
          </w:p>
        </w:tc>
        <w:tc>
          <w:tcPr>
            <w:tcW w:w="2466" w:type="dxa"/>
            <w:vAlign w:val="center"/>
          </w:tcPr>
          <w:p>
            <w:pPr>
              <w:pStyle w:val="13"/>
            </w:pPr>
            <w:r>
              <w:t>工作方案</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群众满意率</w:t>
            </w:r>
          </w:p>
        </w:tc>
        <w:tc>
          <w:tcPr>
            <w:tcW w:w="2466" w:type="dxa"/>
            <w:vAlign w:val="center"/>
          </w:tcPr>
          <w:p>
            <w:pPr>
              <w:pStyle w:val="13"/>
            </w:pPr>
            <w:r>
              <w:t>群众对参保工作满意度</w:t>
            </w:r>
          </w:p>
        </w:tc>
        <w:tc>
          <w:tcPr>
            <w:tcW w:w="2466" w:type="dxa"/>
            <w:vAlign w:val="center"/>
          </w:tcPr>
          <w:p>
            <w:pPr>
              <w:pStyle w:val="13"/>
            </w:pPr>
            <w:r>
              <w:t>≥95比率</w:t>
            </w:r>
          </w:p>
        </w:tc>
        <w:tc>
          <w:tcPr>
            <w:tcW w:w="246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11、关于提前下达2022年省级财政医疗救助补助资金的通知 冀财社（2021）179号绩效目标表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1.通过项目的开展，全面提高我县医疗保障救助水平，实现减轻贫困人口就医负担，有效解决因病致贫返贫问题。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应补尽补率</w:t>
            </w:r>
          </w:p>
        </w:tc>
        <w:tc>
          <w:tcPr>
            <w:tcW w:w="2466" w:type="dxa"/>
            <w:vAlign w:val="center"/>
          </w:tcPr>
          <w:p>
            <w:pPr>
              <w:pStyle w:val="13"/>
            </w:pPr>
            <w:r>
              <w:t>应补尽补比例</w:t>
            </w:r>
          </w:p>
        </w:tc>
        <w:tc>
          <w:tcPr>
            <w:tcW w:w="2466" w:type="dxa"/>
            <w:vAlign w:val="center"/>
          </w:tcPr>
          <w:p>
            <w:pPr>
              <w:pStyle w:val="13"/>
            </w:pPr>
            <w:r>
              <w:t>≥100%</w:t>
            </w:r>
          </w:p>
        </w:tc>
        <w:tc>
          <w:tcPr>
            <w:tcW w:w="2466" w:type="dxa"/>
            <w:vAlign w:val="center"/>
          </w:tcPr>
          <w:p>
            <w:pPr>
              <w:pStyle w:val="13"/>
            </w:pPr>
            <w:r>
              <w:t>《大厂回族自治县关于进一步规范医疗救助制度全面完善重特大疾病医疗救助工作的实施意见》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医疗救助准确率</w:t>
            </w:r>
          </w:p>
        </w:tc>
        <w:tc>
          <w:tcPr>
            <w:tcW w:w="2466" w:type="dxa"/>
            <w:vAlign w:val="center"/>
          </w:tcPr>
          <w:p>
            <w:pPr>
              <w:pStyle w:val="13"/>
            </w:pPr>
            <w:r>
              <w:t>医疗救助合规人数占医疗救助人数的比例</w:t>
            </w:r>
          </w:p>
        </w:tc>
        <w:tc>
          <w:tcPr>
            <w:tcW w:w="2466" w:type="dxa"/>
            <w:vAlign w:val="center"/>
          </w:tcPr>
          <w:p>
            <w:pPr>
              <w:pStyle w:val="13"/>
            </w:pPr>
            <w:r>
              <w:t>≥100%</w:t>
            </w:r>
          </w:p>
        </w:tc>
        <w:tc>
          <w:tcPr>
            <w:tcW w:w="2466" w:type="dxa"/>
            <w:vAlign w:val="center"/>
          </w:tcPr>
          <w:p>
            <w:pPr>
              <w:pStyle w:val="13"/>
            </w:pPr>
            <w:r>
              <w:t>《大厂回族自治县关于进一步规范医疗救助制度全面完善重特大疾病医疗救助工作的实施意见》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补助发放及时性</w:t>
            </w:r>
          </w:p>
        </w:tc>
        <w:tc>
          <w:tcPr>
            <w:tcW w:w="2466" w:type="dxa"/>
            <w:vAlign w:val="center"/>
          </w:tcPr>
          <w:p>
            <w:pPr>
              <w:pStyle w:val="13"/>
            </w:pPr>
            <w:r>
              <w:t>按季度及时核发</w:t>
            </w:r>
          </w:p>
        </w:tc>
        <w:tc>
          <w:tcPr>
            <w:tcW w:w="2466" w:type="dxa"/>
            <w:vAlign w:val="center"/>
          </w:tcPr>
          <w:p>
            <w:pPr>
              <w:pStyle w:val="13"/>
            </w:pPr>
            <w:r>
              <w:t>≤3月</w:t>
            </w:r>
          </w:p>
        </w:tc>
        <w:tc>
          <w:tcPr>
            <w:tcW w:w="2466" w:type="dxa"/>
            <w:vAlign w:val="center"/>
          </w:tcPr>
          <w:p>
            <w:pPr>
              <w:pStyle w:val="13"/>
            </w:pPr>
            <w:r>
              <w:t>根据项目实际情况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总成本</w:t>
            </w:r>
          </w:p>
        </w:tc>
        <w:tc>
          <w:tcPr>
            <w:tcW w:w="2466" w:type="dxa"/>
            <w:vAlign w:val="center"/>
          </w:tcPr>
          <w:p>
            <w:pPr>
              <w:pStyle w:val="13"/>
            </w:pPr>
            <w:r>
              <w:t>医疗救助资金总成本</w:t>
            </w:r>
          </w:p>
        </w:tc>
        <w:tc>
          <w:tcPr>
            <w:tcW w:w="2466" w:type="dxa"/>
            <w:vAlign w:val="center"/>
          </w:tcPr>
          <w:p>
            <w:pPr>
              <w:pStyle w:val="13"/>
            </w:pPr>
            <w:r>
              <w:t>≤12万元</w:t>
            </w:r>
          </w:p>
        </w:tc>
        <w:tc>
          <w:tcPr>
            <w:tcW w:w="2466" w:type="dxa"/>
            <w:vAlign w:val="center"/>
          </w:tcPr>
          <w:p>
            <w:pPr>
              <w:pStyle w:val="13"/>
            </w:pPr>
            <w:r>
              <w:t>2022年预算文本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就医费用本人负担比率</w:t>
            </w:r>
          </w:p>
        </w:tc>
        <w:tc>
          <w:tcPr>
            <w:tcW w:w="2466" w:type="dxa"/>
            <w:vAlign w:val="center"/>
          </w:tcPr>
          <w:p>
            <w:pPr>
              <w:pStyle w:val="13"/>
            </w:pPr>
            <w:r>
              <w:t>困难群众就医费用压力减小</w:t>
            </w:r>
          </w:p>
        </w:tc>
        <w:tc>
          <w:tcPr>
            <w:tcW w:w="2466" w:type="dxa"/>
            <w:vAlign w:val="center"/>
          </w:tcPr>
          <w:p>
            <w:pPr>
              <w:pStyle w:val="13"/>
            </w:pPr>
            <w:r>
              <w:t>≤20%</w:t>
            </w:r>
          </w:p>
        </w:tc>
        <w:tc>
          <w:tcPr>
            <w:tcW w:w="2466" w:type="dxa"/>
            <w:vAlign w:val="center"/>
          </w:tcPr>
          <w:p>
            <w:pPr>
              <w:pStyle w:val="13"/>
            </w:pPr>
            <w:r>
              <w:t>《大厂回族自治县关于进一步规范医疗救助制度全面完善重特大疾病医疗救助工作的实施意见》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社会效益指标</w:t>
            </w:r>
          </w:p>
        </w:tc>
        <w:tc>
          <w:tcPr>
            <w:tcW w:w="2466" w:type="dxa"/>
            <w:vAlign w:val="center"/>
          </w:tcPr>
          <w:p>
            <w:pPr>
              <w:pStyle w:val="13"/>
            </w:pPr>
            <w:r>
              <w:t>因病返贫人数</w:t>
            </w:r>
          </w:p>
        </w:tc>
        <w:tc>
          <w:tcPr>
            <w:tcW w:w="2466" w:type="dxa"/>
            <w:vAlign w:val="center"/>
          </w:tcPr>
          <w:p>
            <w:pPr>
              <w:pStyle w:val="13"/>
            </w:pPr>
            <w:r>
              <w:t>因病返贫人数</w:t>
            </w:r>
          </w:p>
        </w:tc>
        <w:tc>
          <w:tcPr>
            <w:tcW w:w="2466" w:type="dxa"/>
            <w:vAlign w:val="center"/>
          </w:tcPr>
          <w:p>
            <w:pPr>
              <w:pStyle w:val="13"/>
            </w:pPr>
            <w:r>
              <w:t>&lt;1人</w:t>
            </w:r>
          </w:p>
        </w:tc>
        <w:tc>
          <w:tcPr>
            <w:tcW w:w="2466" w:type="dxa"/>
            <w:vAlign w:val="center"/>
          </w:tcPr>
          <w:p>
            <w:pPr>
              <w:pStyle w:val="13"/>
            </w:pPr>
            <w:r>
              <w:t>2022年实际情况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提高县域医疗保障救助水平</w:t>
            </w:r>
          </w:p>
        </w:tc>
        <w:tc>
          <w:tcPr>
            <w:tcW w:w="2466" w:type="dxa"/>
            <w:vAlign w:val="center"/>
          </w:tcPr>
          <w:p>
            <w:pPr>
              <w:pStyle w:val="13"/>
            </w:pPr>
            <w:r>
              <w:t>提高医疗保障救助水平</w:t>
            </w:r>
          </w:p>
        </w:tc>
        <w:tc>
          <w:tcPr>
            <w:tcW w:w="2466" w:type="dxa"/>
            <w:vAlign w:val="center"/>
          </w:tcPr>
          <w:p>
            <w:pPr>
              <w:pStyle w:val="13"/>
            </w:pPr>
            <w:r>
              <w:t>显著提升</w:t>
            </w:r>
          </w:p>
        </w:tc>
        <w:tc>
          <w:tcPr>
            <w:tcW w:w="246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综合满意度</w:t>
            </w:r>
          </w:p>
        </w:tc>
        <w:tc>
          <w:tcPr>
            <w:tcW w:w="2466" w:type="dxa"/>
            <w:vAlign w:val="center"/>
          </w:tcPr>
          <w:p>
            <w:pPr>
              <w:pStyle w:val="13"/>
            </w:pPr>
            <w:r>
              <w:t>受益群众满意度</w:t>
            </w:r>
          </w:p>
        </w:tc>
        <w:tc>
          <w:tcPr>
            <w:tcW w:w="2466" w:type="dxa"/>
            <w:vAlign w:val="center"/>
          </w:tcPr>
          <w:p>
            <w:pPr>
              <w:pStyle w:val="13"/>
            </w:pPr>
            <w:r>
              <w:t>≥90%</w:t>
            </w:r>
          </w:p>
        </w:tc>
        <w:tc>
          <w:tcPr>
            <w:tcW w:w="246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12、关于提前下达2022年中央财政医疗救助补助资金预算的通知  冀财社（2021）159号绩效目标表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1.通过项目的开展，全面提高我县医疗保障救助水平，实现减轻贫困人口就医负担，有效解决因病致贫返贫问题。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补助完成率</w:t>
            </w:r>
          </w:p>
        </w:tc>
        <w:tc>
          <w:tcPr>
            <w:tcW w:w="2466" w:type="dxa"/>
            <w:vAlign w:val="center"/>
          </w:tcPr>
          <w:p>
            <w:pPr>
              <w:pStyle w:val="13"/>
            </w:pPr>
            <w:r>
              <w:t>补助完成率</w:t>
            </w:r>
          </w:p>
        </w:tc>
        <w:tc>
          <w:tcPr>
            <w:tcW w:w="2466" w:type="dxa"/>
            <w:vAlign w:val="center"/>
          </w:tcPr>
          <w:p>
            <w:pPr>
              <w:pStyle w:val="13"/>
            </w:pPr>
            <w:r>
              <w:t>≥100%</w:t>
            </w:r>
          </w:p>
        </w:tc>
        <w:tc>
          <w:tcPr>
            <w:tcW w:w="2466" w:type="dxa"/>
            <w:vAlign w:val="center"/>
          </w:tcPr>
          <w:p>
            <w:pPr>
              <w:pStyle w:val="13"/>
            </w:pPr>
            <w:r>
              <w:t>《大厂回族自治县关于进一步规范医疗救助制度全面完善重特大疾病医疗救助工作的实施意见》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医疗救助准确率</w:t>
            </w:r>
          </w:p>
        </w:tc>
        <w:tc>
          <w:tcPr>
            <w:tcW w:w="2466" w:type="dxa"/>
            <w:vAlign w:val="center"/>
          </w:tcPr>
          <w:p>
            <w:pPr>
              <w:pStyle w:val="13"/>
            </w:pPr>
            <w:r>
              <w:t>医疗救助合规人数占医疗救助人数的比例</w:t>
            </w:r>
          </w:p>
        </w:tc>
        <w:tc>
          <w:tcPr>
            <w:tcW w:w="2466" w:type="dxa"/>
            <w:vAlign w:val="center"/>
          </w:tcPr>
          <w:p>
            <w:pPr>
              <w:pStyle w:val="13"/>
            </w:pPr>
            <w:r>
              <w:t>≥100%</w:t>
            </w:r>
          </w:p>
        </w:tc>
        <w:tc>
          <w:tcPr>
            <w:tcW w:w="2466" w:type="dxa"/>
            <w:vAlign w:val="center"/>
          </w:tcPr>
          <w:p>
            <w:pPr>
              <w:pStyle w:val="13"/>
            </w:pPr>
            <w:r>
              <w:t>《大厂回族自治县关于进一步规范医疗救助制度全面完善重特大疾病医疗救助工作的实施意见》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补助发放时间</w:t>
            </w:r>
          </w:p>
        </w:tc>
        <w:tc>
          <w:tcPr>
            <w:tcW w:w="2466" w:type="dxa"/>
            <w:vAlign w:val="center"/>
          </w:tcPr>
          <w:p>
            <w:pPr>
              <w:pStyle w:val="13"/>
            </w:pPr>
            <w:r>
              <w:t>按季度及时核发</w:t>
            </w:r>
          </w:p>
        </w:tc>
        <w:tc>
          <w:tcPr>
            <w:tcW w:w="2466" w:type="dxa"/>
            <w:vAlign w:val="center"/>
          </w:tcPr>
          <w:p>
            <w:pPr>
              <w:pStyle w:val="13"/>
            </w:pPr>
            <w:r>
              <w:t>≤3月</w:t>
            </w:r>
          </w:p>
        </w:tc>
        <w:tc>
          <w:tcPr>
            <w:tcW w:w="2466" w:type="dxa"/>
            <w:vAlign w:val="center"/>
          </w:tcPr>
          <w:p>
            <w:pPr>
              <w:pStyle w:val="13"/>
            </w:pPr>
            <w:r>
              <w:t>根据项目实际支出情况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总成本</w:t>
            </w:r>
          </w:p>
        </w:tc>
        <w:tc>
          <w:tcPr>
            <w:tcW w:w="2466" w:type="dxa"/>
            <w:vAlign w:val="center"/>
          </w:tcPr>
          <w:p>
            <w:pPr>
              <w:pStyle w:val="13"/>
            </w:pPr>
            <w:r>
              <w:t>医疗救助资金总成本</w:t>
            </w:r>
          </w:p>
        </w:tc>
        <w:tc>
          <w:tcPr>
            <w:tcW w:w="2466" w:type="dxa"/>
            <w:vAlign w:val="center"/>
          </w:tcPr>
          <w:p>
            <w:pPr>
              <w:pStyle w:val="13"/>
            </w:pPr>
            <w:r>
              <w:t>≤24万元</w:t>
            </w:r>
          </w:p>
        </w:tc>
        <w:tc>
          <w:tcPr>
            <w:tcW w:w="2466" w:type="dxa"/>
            <w:vAlign w:val="center"/>
          </w:tcPr>
          <w:p>
            <w:pPr>
              <w:pStyle w:val="13"/>
            </w:pPr>
            <w:r>
              <w:t>2022年预算文本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就医费用本人负担比率</w:t>
            </w:r>
          </w:p>
        </w:tc>
        <w:tc>
          <w:tcPr>
            <w:tcW w:w="2466" w:type="dxa"/>
            <w:vAlign w:val="center"/>
          </w:tcPr>
          <w:p>
            <w:pPr>
              <w:pStyle w:val="13"/>
            </w:pPr>
            <w:r>
              <w:t>困难群众就医费用压力减小</w:t>
            </w:r>
          </w:p>
        </w:tc>
        <w:tc>
          <w:tcPr>
            <w:tcW w:w="2466" w:type="dxa"/>
            <w:vAlign w:val="center"/>
          </w:tcPr>
          <w:p>
            <w:pPr>
              <w:pStyle w:val="13"/>
            </w:pPr>
            <w:r>
              <w:t>≤20%</w:t>
            </w:r>
          </w:p>
        </w:tc>
        <w:tc>
          <w:tcPr>
            <w:tcW w:w="2466" w:type="dxa"/>
            <w:vAlign w:val="center"/>
          </w:tcPr>
          <w:p>
            <w:pPr>
              <w:pStyle w:val="13"/>
            </w:pPr>
            <w:r>
              <w:t>《大厂回族自治县关于进一步规范医疗救助制度全面完善重特大疾病医疗救助工作的实施意见》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社会效益指标</w:t>
            </w:r>
          </w:p>
        </w:tc>
        <w:tc>
          <w:tcPr>
            <w:tcW w:w="2466" w:type="dxa"/>
            <w:vAlign w:val="center"/>
          </w:tcPr>
          <w:p>
            <w:pPr>
              <w:pStyle w:val="13"/>
            </w:pPr>
            <w:r>
              <w:t>因病返贫人数</w:t>
            </w:r>
          </w:p>
        </w:tc>
        <w:tc>
          <w:tcPr>
            <w:tcW w:w="2466" w:type="dxa"/>
            <w:vAlign w:val="center"/>
          </w:tcPr>
          <w:p>
            <w:pPr>
              <w:pStyle w:val="13"/>
            </w:pPr>
            <w:r>
              <w:t>因病返贫人数</w:t>
            </w:r>
          </w:p>
        </w:tc>
        <w:tc>
          <w:tcPr>
            <w:tcW w:w="2466" w:type="dxa"/>
            <w:vAlign w:val="center"/>
          </w:tcPr>
          <w:p>
            <w:pPr>
              <w:pStyle w:val="13"/>
            </w:pPr>
            <w:r>
              <w:t>&lt;1人</w:t>
            </w:r>
          </w:p>
        </w:tc>
        <w:tc>
          <w:tcPr>
            <w:tcW w:w="2466" w:type="dxa"/>
            <w:vAlign w:val="center"/>
          </w:tcPr>
          <w:p>
            <w:pPr>
              <w:pStyle w:val="13"/>
            </w:pPr>
            <w:r>
              <w:t>2022年实际情况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提高县域医疗保障救助水平</w:t>
            </w:r>
          </w:p>
        </w:tc>
        <w:tc>
          <w:tcPr>
            <w:tcW w:w="2466" w:type="dxa"/>
            <w:vAlign w:val="center"/>
          </w:tcPr>
          <w:p>
            <w:pPr>
              <w:pStyle w:val="13"/>
            </w:pPr>
            <w:r>
              <w:t>提高医疗保障救助水平</w:t>
            </w:r>
          </w:p>
        </w:tc>
        <w:tc>
          <w:tcPr>
            <w:tcW w:w="2466" w:type="dxa"/>
            <w:vAlign w:val="center"/>
          </w:tcPr>
          <w:p>
            <w:pPr>
              <w:pStyle w:val="13"/>
            </w:pPr>
            <w:r>
              <w:t>显著提升</w:t>
            </w:r>
          </w:p>
        </w:tc>
        <w:tc>
          <w:tcPr>
            <w:tcW w:w="246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群众满意度</w:t>
            </w:r>
          </w:p>
        </w:tc>
        <w:tc>
          <w:tcPr>
            <w:tcW w:w="2466" w:type="dxa"/>
            <w:vAlign w:val="center"/>
          </w:tcPr>
          <w:p>
            <w:pPr>
              <w:pStyle w:val="13"/>
            </w:pPr>
            <w:r>
              <w:t>受益群众满意度</w:t>
            </w:r>
          </w:p>
        </w:tc>
        <w:tc>
          <w:tcPr>
            <w:tcW w:w="2466" w:type="dxa"/>
            <w:vAlign w:val="center"/>
          </w:tcPr>
          <w:p>
            <w:pPr>
              <w:pStyle w:val="13"/>
            </w:pPr>
            <w:r>
              <w:t>≥90%</w:t>
            </w:r>
          </w:p>
        </w:tc>
        <w:tc>
          <w:tcPr>
            <w:tcW w:w="246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13、关于提前下达2022年中央专项彩票公益金支持城乡医疗救助资金预算的通知 冀财社（2021）150号绩效目标表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1.通过项目的开展，全面提高我县医疗保障救助水平，实现减轻贫困人口就医负担，有效解决因病致贫返贫问题。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应补尽补率</w:t>
            </w:r>
          </w:p>
        </w:tc>
        <w:tc>
          <w:tcPr>
            <w:tcW w:w="2466" w:type="dxa"/>
            <w:vAlign w:val="center"/>
          </w:tcPr>
          <w:p>
            <w:pPr>
              <w:pStyle w:val="13"/>
            </w:pPr>
            <w:r>
              <w:t>应补尽补比例</w:t>
            </w:r>
          </w:p>
        </w:tc>
        <w:tc>
          <w:tcPr>
            <w:tcW w:w="2466" w:type="dxa"/>
            <w:vAlign w:val="center"/>
          </w:tcPr>
          <w:p>
            <w:pPr>
              <w:pStyle w:val="13"/>
            </w:pPr>
            <w:r>
              <w:t>≥100%</w:t>
            </w:r>
          </w:p>
        </w:tc>
        <w:tc>
          <w:tcPr>
            <w:tcW w:w="2466" w:type="dxa"/>
            <w:vAlign w:val="center"/>
          </w:tcPr>
          <w:p>
            <w:pPr>
              <w:pStyle w:val="13"/>
            </w:pPr>
            <w:r>
              <w:t>《大厂回族自治县关于进一步规范医疗救助制度全面完善重特大疾病医疗救助工作的实施意见》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医疗救助准确率</w:t>
            </w:r>
          </w:p>
        </w:tc>
        <w:tc>
          <w:tcPr>
            <w:tcW w:w="2466" w:type="dxa"/>
            <w:vAlign w:val="center"/>
          </w:tcPr>
          <w:p>
            <w:pPr>
              <w:pStyle w:val="13"/>
            </w:pPr>
            <w:r>
              <w:t>医疗救助合规人数占医疗救助人数的比例</w:t>
            </w:r>
          </w:p>
        </w:tc>
        <w:tc>
          <w:tcPr>
            <w:tcW w:w="2466" w:type="dxa"/>
            <w:vAlign w:val="center"/>
          </w:tcPr>
          <w:p>
            <w:pPr>
              <w:pStyle w:val="13"/>
            </w:pPr>
            <w:r>
              <w:t>≥100%</w:t>
            </w:r>
          </w:p>
        </w:tc>
        <w:tc>
          <w:tcPr>
            <w:tcW w:w="2466" w:type="dxa"/>
            <w:vAlign w:val="center"/>
          </w:tcPr>
          <w:p>
            <w:pPr>
              <w:pStyle w:val="13"/>
            </w:pPr>
            <w:r>
              <w:t>《大厂回族自治县关于进一步规范医疗救助制度全面完善重特大疾病医疗救助工作的实施意见》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补助发放及时性</w:t>
            </w:r>
          </w:p>
        </w:tc>
        <w:tc>
          <w:tcPr>
            <w:tcW w:w="2466" w:type="dxa"/>
            <w:vAlign w:val="center"/>
          </w:tcPr>
          <w:p>
            <w:pPr>
              <w:pStyle w:val="13"/>
            </w:pPr>
            <w:r>
              <w:t>按季度及时核发</w:t>
            </w:r>
          </w:p>
        </w:tc>
        <w:tc>
          <w:tcPr>
            <w:tcW w:w="2466" w:type="dxa"/>
            <w:vAlign w:val="center"/>
          </w:tcPr>
          <w:p>
            <w:pPr>
              <w:pStyle w:val="13"/>
            </w:pPr>
            <w:r>
              <w:t>≤3月</w:t>
            </w:r>
          </w:p>
        </w:tc>
        <w:tc>
          <w:tcPr>
            <w:tcW w:w="2466" w:type="dxa"/>
            <w:vAlign w:val="center"/>
          </w:tcPr>
          <w:p>
            <w:pPr>
              <w:pStyle w:val="13"/>
            </w:pPr>
            <w:r>
              <w:t>根据项目实际情况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总成本</w:t>
            </w:r>
          </w:p>
        </w:tc>
        <w:tc>
          <w:tcPr>
            <w:tcW w:w="2466" w:type="dxa"/>
            <w:vAlign w:val="center"/>
          </w:tcPr>
          <w:p>
            <w:pPr>
              <w:pStyle w:val="13"/>
            </w:pPr>
            <w:r>
              <w:t>医疗救助资金总成本</w:t>
            </w:r>
          </w:p>
        </w:tc>
        <w:tc>
          <w:tcPr>
            <w:tcW w:w="2466" w:type="dxa"/>
            <w:vAlign w:val="center"/>
          </w:tcPr>
          <w:p>
            <w:pPr>
              <w:pStyle w:val="13"/>
            </w:pPr>
            <w:r>
              <w:t>≤2万元</w:t>
            </w:r>
          </w:p>
        </w:tc>
        <w:tc>
          <w:tcPr>
            <w:tcW w:w="2466" w:type="dxa"/>
            <w:vAlign w:val="center"/>
          </w:tcPr>
          <w:p>
            <w:pPr>
              <w:pStyle w:val="13"/>
            </w:pPr>
            <w:r>
              <w:t>2022年预算文本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就医费用本人负担比率</w:t>
            </w:r>
          </w:p>
        </w:tc>
        <w:tc>
          <w:tcPr>
            <w:tcW w:w="2466" w:type="dxa"/>
            <w:vAlign w:val="center"/>
          </w:tcPr>
          <w:p>
            <w:pPr>
              <w:pStyle w:val="13"/>
            </w:pPr>
            <w:r>
              <w:t>困难群众就医费用压力减小</w:t>
            </w:r>
          </w:p>
        </w:tc>
        <w:tc>
          <w:tcPr>
            <w:tcW w:w="2466" w:type="dxa"/>
            <w:vAlign w:val="center"/>
          </w:tcPr>
          <w:p>
            <w:pPr>
              <w:pStyle w:val="13"/>
            </w:pPr>
            <w:r>
              <w:t>≤20%</w:t>
            </w:r>
          </w:p>
        </w:tc>
        <w:tc>
          <w:tcPr>
            <w:tcW w:w="2466" w:type="dxa"/>
            <w:vAlign w:val="center"/>
          </w:tcPr>
          <w:p>
            <w:pPr>
              <w:pStyle w:val="13"/>
            </w:pPr>
            <w:r>
              <w:t>《大厂回族自治县关于进一步规范医疗救助制度全面完善重特大疾病医疗救助工作的实施意见》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社会效益指标</w:t>
            </w:r>
          </w:p>
        </w:tc>
        <w:tc>
          <w:tcPr>
            <w:tcW w:w="2466" w:type="dxa"/>
            <w:vAlign w:val="center"/>
          </w:tcPr>
          <w:p>
            <w:pPr>
              <w:pStyle w:val="13"/>
            </w:pPr>
            <w:r>
              <w:t>因病返贫人数</w:t>
            </w:r>
          </w:p>
        </w:tc>
        <w:tc>
          <w:tcPr>
            <w:tcW w:w="2466" w:type="dxa"/>
            <w:vAlign w:val="center"/>
          </w:tcPr>
          <w:p>
            <w:pPr>
              <w:pStyle w:val="13"/>
            </w:pPr>
            <w:r>
              <w:t>因病返贫人数</w:t>
            </w:r>
          </w:p>
        </w:tc>
        <w:tc>
          <w:tcPr>
            <w:tcW w:w="2466" w:type="dxa"/>
            <w:vAlign w:val="center"/>
          </w:tcPr>
          <w:p>
            <w:pPr>
              <w:pStyle w:val="13"/>
            </w:pPr>
            <w:r>
              <w:t>&lt;1人</w:t>
            </w:r>
          </w:p>
        </w:tc>
        <w:tc>
          <w:tcPr>
            <w:tcW w:w="2466" w:type="dxa"/>
            <w:vAlign w:val="center"/>
          </w:tcPr>
          <w:p>
            <w:pPr>
              <w:pStyle w:val="13"/>
            </w:pPr>
            <w:r>
              <w:t>2022年实际情况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提高县域医疗保障救助水平</w:t>
            </w:r>
          </w:p>
        </w:tc>
        <w:tc>
          <w:tcPr>
            <w:tcW w:w="2466" w:type="dxa"/>
            <w:vAlign w:val="center"/>
          </w:tcPr>
          <w:p>
            <w:pPr>
              <w:pStyle w:val="13"/>
            </w:pPr>
            <w:r>
              <w:t>提高医疗保障救助水平</w:t>
            </w:r>
          </w:p>
        </w:tc>
        <w:tc>
          <w:tcPr>
            <w:tcW w:w="2466" w:type="dxa"/>
            <w:vAlign w:val="center"/>
          </w:tcPr>
          <w:p>
            <w:pPr>
              <w:pStyle w:val="13"/>
            </w:pPr>
            <w:r>
              <w:t>显著提升</w:t>
            </w:r>
          </w:p>
        </w:tc>
        <w:tc>
          <w:tcPr>
            <w:tcW w:w="246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综合满意度</w:t>
            </w:r>
          </w:p>
        </w:tc>
        <w:tc>
          <w:tcPr>
            <w:tcW w:w="2466" w:type="dxa"/>
            <w:vAlign w:val="center"/>
          </w:tcPr>
          <w:p>
            <w:pPr>
              <w:pStyle w:val="13"/>
            </w:pPr>
            <w:r>
              <w:t>受益群众满意度</w:t>
            </w:r>
          </w:p>
        </w:tc>
        <w:tc>
          <w:tcPr>
            <w:tcW w:w="2466" w:type="dxa"/>
            <w:vAlign w:val="center"/>
          </w:tcPr>
          <w:p>
            <w:pPr>
              <w:pStyle w:val="13"/>
            </w:pPr>
            <w:r>
              <w:t>≥90%</w:t>
            </w:r>
          </w:p>
        </w:tc>
        <w:tc>
          <w:tcPr>
            <w:tcW w:w="246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14、国家级社会管理和公共服务综合标准化试点项目咨询服务费绩效目标表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1.通过聘请专业技术咨询服务公司，从而实现医保局国家级社会管理和公共服务综合标准化试点创建工作成功通过国家标准化管理委员会验收。</w:t>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聘请专业技术服务公司数量</w:t>
            </w:r>
          </w:p>
        </w:tc>
        <w:tc>
          <w:tcPr>
            <w:tcW w:w="2466" w:type="dxa"/>
            <w:vAlign w:val="center"/>
          </w:tcPr>
          <w:p>
            <w:pPr>
              <w:pStyle w:val="13"/>
            </w:pPr>
            <w:r>
              <w:t>根据工作需要所需聘请专业技术服务公司数量</w:t>
            </w:r>
          </w:p>
        </w:tc>
        <w:tc>
          <w:tcPr>
            <w:tcW w:w="2466" w:type="dxa"/>
            <w:vAlign w:val="center"/>
          </w:tcPr>
          <w:p>
            <w:pPr>
              <w:pStyle w:val="13"/>
            </w:pPr>
            <w:r>
              <w:t>1家</w:t>
            </w:r>
          </w:p>
        </w:tc>
        <w:tc>
          <w:tcPr>
            <w:tcW w:w="2466" w:type="dxa"/>
            <w:vAlign w:val="center"/>
          </w:tcPr>
          <w:p>
            <w:pPr>
              <w:pStyle w:val="13"/>
            </w:pPr>
            <w:r>
              <w:t>根据实际需求，《国家标准委关于下达第七批社会管理和公共服务综合标准化试点项目的通知》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提供服务内容合格率</w:t>
            </w:r>
          </w:p>
        </w:tc>
        <w:tc>
          <w:tcPr>
            <w:tcW w:w="2466" w:type="dxa"/>
            <w:vAlign w:val="center"/>
          </w:tcPr>
          <w:p>
            <w:pPr>
              <w:pStyle w:val="13"/>
            </w:pPr>
            <w:r>
              <w:t>通过国家标准化管理委员会中期评审</w:t>
            </w:r>
          </w:p>
        </w:tc>
        <w:tc>
          <w:tcPr>
            <w:tcW w:w="2466" w:type="dxa"/>
            <w:vAlign w:val="center"/>
          </w:tcPr>
          <w:p>
            <w:pPr>
              <w:pStyle w:val="13"/>
            </w:pPr>
            <w:r>
              <w:t>100%</w:t>
            </w:r>
          </w:p>
        </w:tc>
        <w:tc>
          <w:tcPr>
            <w:tcW w:w="2466" w:type="dxa"/>
            <w:vAlign w:val="center"/>
          </w:tcPr>
          <w:p>
            <w:pPr>
              <w:pStyle w:val="13"/>
            </w:pPr>
            <w:r>
              <w:t>根据项目实际情况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及时率</w:t>
            </w:r>
          </w:p>
        </w:tc>
        <w:tc>
          <w:tcPr>
            <w:tcW w:w="2466" w:type="dxa"/>
            <w:vAlign w:val="center"/>
          </w:tcPr>
          <w:p>
            <w:pPr>
              <w:pStyle w:val="13"/>
            </w:pPr>
            <w:r>
              <w:t>根据工作需要及时提供咨询技术服务</w:t>
            </w:r>
          </w:p>
        </w:tc>
        <w:tc>
          <w:tcPr>
            <w:tcW w:w="2466" w:type="dxa"/>
            <w:vAlign w:val="center"/>
          </w:tcPr>
          <w:p>
            <w:pPr>
              <w:pStyle w:val="13"/>
            </w:pPr>
            <w:r>
              <w:t>≥95%</w:t>
            </w:r>
          </w:p>
        </w:tc>
        <w:tc>
          <w:tcPr>
            <w:tcW w:w="246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服务费用成本</w:t>
            </w:r>
          </w:p>
        </w:tc>
        <w:tc>
          <w:tcPr>
            <w:tcW w:w="2466" w:type="dxa"/>
            <w:vAlign w:val="center"/>
          </w:tcPr>
          <w:p>
            <w:pPr>
              <w:pStyle w:val="13"/>
            </w:pPr>
            <w:r>
              <w:t>根据合同约定所需支付的相关费用成本</w:t>
            </w:r>
          </w:p>
        </w:tc>
        <w:tc>
          <w:tcPr>
            <w:tcW w:w="2466" w:type="dxa"/>
            <w:vAlign w:val="center"/>
          </w:tcPr>
          <w:p>
            <w:pPr>
              <w:pStyle w:val="13"/>
            </w:pPr>
            <w:r>
              <w:t>≤28.5万元</w:t>
            </w:r>
          </w:p>
        </w:tc>
        <w:tc>
          <w:tcPr>
            <w:tcW w:w="246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建立体系</w:t>
            </w:r>
          </w:p>
        </w:tc>
        <w:tc>
          <w:tcPr>
            <w:tcW w:w="2466" w:type="dxa"/>
            <w:vAlign w:val="center"/>
          </w:tcPr>
          <w:p>
            <w:pPr>
              <w:pStyle w:val="13"/>
            </w:pPr>
            <w:r>
              <w:t>建立实用性强的基层医保服务标准化体系</w:t>
            </w:r>
          </w:p>
        </w:tc>
        <w:tc>
          <w:tcPr>
            <w:tcW w:w="2466" w:type="dxa"/>
            <w:vAlign w:val="center"/>
          </w:tcPr>
          <w:p>
            <w:pPr>
              <w:pStyle w:val="13"/>
            </w:pPr>
            <w:r>
              <w:t>1套</w:t>
            </w:r>
          </w:p>
        </w:tc>
        <w:tc>
          <w:tcPr>
            <w:tcW w:w="2466" w:type="dxa"/>
            <w:vAlign w:val="center"/>
          </w:tcPr>
          <w:p>
            <w:pPr>
              <w:pStyle w:val="13"/>
            </w:pPr>
            <w:r>
              <w:t>根据项目产出结果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建立标准</w:t>
            </w:r>
          </w:p>
        </w:tc>
        <w:tc>
          <w:tcPr>
            <w:tcW w:w="2466" w:type="dxa"/>
            <w:vAlign w:val="center"/>
          </w:tcPr>
          <w:p>
            <w:pPr>
              <w:pStyle w:val="13"/>
            </w:pPr>
            <w:r>
              <w:t>形成医保服务标准</w:t>
            </w:r>
          </w:p>
        </w:tc>
        <w:tc>
          <w:tcPr>
            <w:tcW w:w="2466" w:type="dxa"/>
            <w:vAlign w:val="center"/>
          </w:tcPr>
          <w:p>
            <w:pPr>
              <w:pStyle w:val="13"/>
            </w:pPr>
            <w:r>
              <w:t>1套</w:t>
            </w:r>
          </w:p>
        </w:tc>
        <w:tc>
          <w:tcPr>
            <w:tcW w:w="2466" w:type="dxa"/>
            <w:vAlign w:val="center"/>
          </w:tcPr>
          <w:p>
            <w:pPr>
              <w:pStyle w:val="13"/>
            </w:pPr>
            <w:r>
              <w:t>根据项目产出结果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服务对象满意度</w:t>
            </w:r>
          </w:p>
        </w:tc>
        <w:tc>
          <w:tcPr>
            <w:tcW w:w="2466" w:type="dxa"/>
            <w:vAlign w:val="center"/>
          </w:tcPr>
          <w:p>
            <w:pPr>
              <w:pStyle w:val="13"/>
            </w:pPr>
            <w:r>
              <w:t>服务对象满意度</w:t>
            </w:r>
            <w:r>
              <w:tab/>
            </w:r>
          </w:p>
          <w:p>
            <w:pPr>
              <w:pStyle w:val="13"/>
            </w:pPr>
          </w:p>
        </w:tc>
        <w:tc>
          <w:tcPr>
            <w:tcW w:w="2466" w:type="dxa"/>
            <w:vAlign w:val="center"/>
          </w:tcPr>
          <w:p>
            <w:pPr>
              <w:pStyle w:val="13"/>
            </w:pPr>
            <w:r>
              <w:t>≥95%</w:t>
            </w:r>
          </w:p>
        </w:tc>
        <w:tc>
          <w:tcPr>
            <w:tcW w:w="246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15、家庭医生签约服务费绩效目标表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1.通过项目的开展，调动家庭医生开展签约的积极性，建立家庭医生与居民之间良好的契约服务关系，使城乡居民获得综合、连续、便捷、个性化的健康管理服务。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签约服务人数</w:t>
            </w:r>
          </w:p>
        </w:tc>
        <w:tc>
          <w:tcPr>
            <w:tcW w:w="2466" w:type="dxa"/>
            <w:vAlign w:val="center"/>
          </w:tcPr>
          <w:p>
            <w:pPr>
              <w:pStyle w:val="13"/>
            </w:pPr>
            <w:r>
              <w:t>家庭医生签约服务人次</w:t>
            </w:r>
          </w:p>
        </w:tc>
        <w:tc>
          <w:tcPr>
            <w:tcW w:w="2466" w:type="dxa"/>
            <w:vAlign w:val="center"/>
          </w:tcPr>
          <w:p>
            <w:pPr>
              <w:pStyle w:val="13"/>
            </w:pPr>
            <w:r>
              <w:t>≥45000人</w:t>
            </w:r>
          </w:p>
        </w:tc>
        <w:tc>
          <w:tcPr>
            <w:tcW w:w="2466" w:type="dxa"/>
            <w:vAlign w:val="center"/>
          </w:tcPr>
          <w:p>
            <w:pPr>
              <w:pStyle w:val="13"/>
            </w:pPr>
            <w:r>
              <w:t>根据家庭医生签约服务名单（卫健局提供）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覆盖率</w:t>
            </w:r>
          </w:p>
        </w:tc>
        <w:tc>
          <w:tcPr>
            <w:tcW w:w="2466" w:type="dxa"/>
            <w:vAlign w:val="center"/>
          </w:tcPr>
          <w:p>
            <w:pPr>
              <w:pStyle w:val="13"/>
            </w:pPr>
            <w:r>
              <w:t>提供服务的家庭医生</w:t>
            </w:r>
          </w:p>
        </w:tc>
        <w:tc>
          <w:tcPr>
            <w:tcW w:w="2466" w:type="dxa"/>
            <w:vAlign w:val="center"/>
          </w:tcPr>
          <w:p>
            <w:pPr>
              <w:pStyle w:val="13"/>
            </w:pPr>
            <w:r>
              <w:t>≥100比率</w:t>
            </w:r>
          </w:p>
        </w:tc>
        <w:tc>
          <w:tcPr>
            <w:tcW w:w="2466" w:type="dxa"/>
            <w:vAlign w:val="center"/>
          </w:tcPr>
          <w:p>
            <w:pPr>
              <w:pStyle w:val="13"/>
            </w:pPr>
            <w:r>
              <w:t>大厂回族自治县委办公室、政府办公室关于印发《大厂回族自治县推进家庭医生签约服务的实施意见》的通知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及时发放率</w:t>
            </w:r>
          </w:p>
        </w:tc>
        <w:tc>
          <w:tcPr>
            <w:tcW w:w="2466" w:type="dxa"/>
            <w:vAlign w:val="center"/>
          </w:tcPr>
          <w:p>
            <w:pPr>
              <w:pStyle w:val="13"/>
            </w:pPr>
            <w:r>
              <w:t>按照家庭医生签约服务名单及时发放服务费用</w:t>
            </w:r>
          </w:p>
        </w:tc>
        <w:tc>
          <w:tcPr>
            <w:tcW w:w="2466" w:type="dxa"/>
            <w:vAlign w:val="center"/>
          </w:tcPr>
          <w:p>
            <w:pPr>
              <w:pStyle w:val="13"/>
            </w:pPr>
            <w:r>
              <w:t>≥100%</w:t>
            </w:r>
          </w:p>
        </w:tc>
        <w:tc>
          <w:tcPr>
            <w:tcW w:w="2466" w:type="dxa"/>
            <w:vAlign w:val="center"/>
          </w:tcPr>
          <w:p>
            <w:pPr>
              <w:pStyle w:val="13"/>
            </w:pPr>
            <w:r>
              <w:t>2021年家庭医生签约服务费发放人次为零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签约家庭医生人均成本</w:t>
            </w:r>
          </w:p>
        </w:tc>
        <w:tc>
          <w:tcPr>
            <w:tcW w:w="2466" w:type="dxa"/>
            <w:vAlign w:val="center"/>
          </w:tcPr>
          <w:p>
            <w:pPr>
              <w:pStyle w:val="13"/>
            </w:pPr>
            <w:r>
              <w:t>签约家庭医生人均成本</w:t>
            </w:r>
          </w:p>
        </w:tc>
        <w:tc>
          <w:tcPr>
            <w:tcW w:w="2466" w:type="dxa"/>
            <w:vAlign w:val="center"/>
          </w:tcPr>
          <w:p>
            <w:pPr>
              <w:pStyle w:val="13"/>
            </w:pPr>
            <w:r>
              <w:t>≤20元</w:t>
            </w:r>
          </w:p>
        </w:tc>
        <w:tc>
          <w:tcPr>
            <w:tcW w:w="2466" w:type="dxa"/>
            <w:vAlign w:val="center"/>
          </w:tcPr>
          <w:p>
            <w:pPr>
              <w:pStyle w:val="13"/>
            </w:pPr>
            <w:r>
              <w:t>大厂回族自治县委办公室、政府办公室关于印发《大厂回族自治县推进家庭医生签约服务的实施意见》的通知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提升城乡居民健康管理服务水平</w:t>
            </w:r>
          </w:p>
        </w:tc>
        <w:tc>
          <w:tcPr>
            <w:tcW w:w="2466" w:type="dxa"/>
            <w:vAlign w:val="center"/>
          </w:tcPr>
          <w:p>
            <w:pPr>
              <w:pStyle w:val="13"/>
            </w:pPr>
            <w:r>
              <w:t>城乡居民获得综合、连续、便捷、个性化的健康管理服务</w:t>
            </w:r>
          </w:p>
        </w:tc>
        <w:tc>
          <w:tcPr>
            <w:tcW w:w="2466" w:type="dxa"/>
            <w:vAlign w:val="center"/>
          </w:tcPr>
          <w:p>
            <w:pPr>
              <w:pStyle w:val="13"/>
            </w:pPr>
            <w:r>
              <w:t>有效提升</w:t>
            </w:r>
          </w:p>
        </w:tc>
        <w:tc>
          <w:tcPr>
            <w:tcW w:w="246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服务年限</w:t>
            </w:r>
          </w:p>
        </w:tc>
        <w:tc>
          <w:tcPr>
            <w:tcW w:w="2466" w:type="dxa"/>
            <w:vAlign w:val="center"/>
          </w:tcPr>
          <w:p>
            <w:pPr>
              <w:pStyle w:val="13"/>
            </w:pPr>
            <w:r>
              <w:t>服务年限</w:t>
            </w:r>
          </w:p>
        </w:tc>
        <w:tc>
          <w:tcPr>
            <w:tcW w:w="2466" w:type="dxa"/>
            <w:vAlign w:val="center"/>
          </w:tcPr>
          <w:p>
            <w:pPr>
              <w:pStyle w:val="13"/>
            </w:pPr>
            <w:r>
              <w:t>≥1年</w:t>
            </w:r>
          </w:p>
        </w:tc>
        <w:tc>
          <w:tcPr>
            <w:tcW w:w="2466" w:type="dxa"/>
            <w:vAlign w:val="center"/>
          </w:tcPr>
          <w:p>
            <w:pPr>
              <w:pStyle w:val="13"/>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满意度</w:t>
            </w:r>
          </w:p>
        </w:tc>
        <w:tc>
          <w:tcPr>
            <w:tcW w:w="2466" w:type="dxa"/>
            <w:vAlign w:val="center"/>
          </w:tcPr>
          <w:p>
            <w:pPr>
              <w:pStyle w:val="13"/>
            </w:pPr>
            <w:r>
              <w:t>基层医疗机构满意度</w:t>
            </w:r>
          </w:p>
        </w:tc>
        <w:tc>
          <w:tcPr>
            <w:tcW w:w="2466" w:type="dxa"/>
            <w:vAlign w:val="center"/>
          </w:tcPr>
          <w:p>
            <w:pPr>
              <w:pStyle w:val="13"/>
            </w:pPr>
            <w:r>
              <w:t>≥90%</w:t>
            </w:r>
          </w:p>
        </w:tc>
        <w:tc>
          <w:tcPr>
            <w:tcW w:w="246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16、聘请法律顾问绩效目标表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1.通过聘请法律顾问完成法律咨询、合同审核等工作，实现各项事务合法合规开展，业务保障能力明显提高的目标。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质量指标</w:t>
            </w:r>
          </w:p>
        </w:tc>
        <w:tc>
          <w:tcPr>
            <w:tcW w:w="2466" w:type="dxa"/>
            <w:vAlign w:val="center"/>
          </w:tcPr>
          <w:p>
            <w:pPr>
              <w:pStyle w:val="13"/>
            </w:pPr>
            <w:r>
              <w:t>聘请法律顾问数量</w:t>
            </w:r>
          </w:p>
        </w:tc>
        <w:tc>
          <w:tcPr>
            <w:tcW w:w="2466" w:type="dxa"/>
            <w:vAlign w:val="center"/>
          </w:tcPr>
          <w:p>
            <w:pPr>
              <w:pStyle w:val="13"/>
            </w:pPr>
            <w:r>
              <w:t>根据工作需要所需聘请法律顾问人数</w:t>
            </w:r>
          </w:p>
        </w:tc>
        <w:tc>
          <w:tcPr>
            <w:tcW w:w="2466" w:type="dxa"/>
            <w:vAlign w:val="center"/>
          </w:tcPr>
          <w:p>
            <w:pPr>
              <w:pStyle w:val="13"/>
            </w:pPr>
            <w:r>
              <w:t>≥1人</w:t>
            </w:r>
          </w:p>
        </w:tc>
        <w:tc>
          <w:tcPr>
            <w:tcW w:w="2466" w:type="dxa"/>
            <w:vAlign w:val="center"/>
          </w:tcPr>
          <w:p>
            <w:pPr>
              <w:pStyle w:val="13"/>
            </w:pPr>
            <w:r>
              <w:t>2022年合同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合同审核质量合格率</w:t>
            </w:r>
          </w:p>
        </w:tc>
        <w:tc>
          <w:tcPr>
            <w:tcW w:w="2466" w:type="dxa"/>
            <w:vAlign w:val="center"/>
          </w:tcPr>
          <w:p>
            <w:pPr>
              <w:pStyle w:val="13"/>
            </w:pPr>
            <w:r>
              <w:t>合同审核质量合格率占总数百分比</w:t>
            </w:r>
          </w:p>
        </w:tc>
        <w:tc>
          <w:tcPr>
            <w:tcW w:w="2466" w:type="dxa"/>
            <w:vAlign w:val="center"/>
          </w:tcPr>
          <w:p>
            <w:pPr>
              <w:pStyle w:val="13"/>
            </w:pPr>
            <w:r>
              <w:t>≥90%</w:t>
            </w:r>
          </w:p>
        </w:tc>
        <w:tc>
          <w:tcPr>
            <w:tcW w:w="2466" w:type="dxa"/>
            <w:vAlign w:val="center"/>
          </w:tcPr>
          <w:p>
            <w:pPr>
              <w:pStyle w:val="13"/>
            </w:pPr>
            <w:r>
              <w:t>2021年，一共律师看了多少份合同，里面未发生问题的合同有多少份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到岗及时率</w:t>
            </w:r>
          </w:p>
        </w:tc>
        <w:tc>
          <w:tcPr>
            <w:tcW w:w="2466" w:type="dxa"/>
            <w:vAlign w:val="center"/>
          </w:tcPr>
          <w:p>
            <w:pPr>
              <w:pStyle w:val="13"/>
            </w:pPr>
            <w:r>
              <w:t>人员到岗及时率=聘请法律顾问及时到岗人数/聘请法律顾问的总人数*100%</w:t>
            </w:r>
          </w:p>
        </w:tc>
        <w:tc>
          <w:tcPr>
            <w:tcW w:w="2466" w:type="dxa"/>
            <w:vAlign w:val="center"/>
          </w:tcPr>
          <w:p>
            <w:pPr>
              <w:pStyle w:val="13"/>
            </w:pPr>
            <w:r>
              <w:t>≥100%</w:t>
            </w:r>
          </w:p>
        </w:tc>
        <w:tc>
          <w:tcPr>
            <w:tcW w:w="2466" w:type="dxa"/>
            <w:vAlign w:val="center"/>
          </w:tcPr>
          <w:p>
            <w:pPr>
              <w:pStyle w:val="13"/>
            </w:pPr>
            <w:r>
              <w:t>2021年年度工作计划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法律顾问月均成本</w:t>
            </w:r>
          </w:p>
        </w:tc>
        <w:tc>
          <w:tcPr>
            <w:tcW w:w="2466" w:type="dxa"/>
            <w:vAlign w:val="center"/>
          </w:tcPr>
          <w:p>
            <w:pPr>
              <w:pStyle w:val="13"/>
            </w:pPr>
            <w:r>
              <w:t>聘请法律顾问的月均成本</w:t>
            </w:r>
          </w:p>
        </w:tc>
        <w:tc>
          <w:tcPr>
            <w:tcW w:w="2466" w:type="dxa"/>
            <w:vAlign w:val="center"/>
          </w:tcPr>
          <w:p>
            <w:pPr>
              <w:pStyle w:val="13"/>
            </w:pPr>
            <w:r>
              <w:t>≤834元</w:t>
            </w:r>
          </w:p>
        </w:tc>
        <w:tc>
          <w:tcPr>
            <w:tcW w:w="246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局机关业务工作保障率</w:t>
            </w:r>
          </w:p>
        </w:tc>
        <w:tc>
          <w:tcPr>
            <w:tcW w:w="2466" w:type="dxa"/>
            <w:vAlign w:val="center"/>
          </w:tcPr>
          <w:p>
            <w:pPr>
              <w:pStyle w:val="13"/>
            </w:pPr>
            <w:r>
              <w:t>保障局机关业务工作</w:t>
            </w:r>
          </w:p>
        </w:tc>
        <w:tc>
          <w:tcPr>
            <w:tcW w:w="2466" w:type="dxa"/>
            <w:vAlign w:val="center"/>
          </w:tcPr>
          <w:p>
            <w:pPr>
              <w:pStyle w:val="13"/>
            </w:pPr>
            <w:r>
              <w:t>≥95%</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法律案件发生次数</w:t>
            </w:r>
          </w:p>
        </w:tc>
        <w:tc>
          <w:tcPr>
            <w:tcW w:w="2466" w:type="dxa"/>
            <w:vAlign w:val="center"/>
          </w:tcPr>
          <w:p>
            <w:pPr>
              <w:pStyle w:val="13"/>
            </w:pPr>
            <w:r>
              <w:t>减少相关业务法律案件发生次数</w:t>
            </w:r>
          </w:p>
        </w:tc>
        <w:tc>
          <w:tcPr>
            <w:tcW w:w="2466" w:type="dxa"/>
            <w:vAlign w:val="center"/>
          </w:tcPr>
          <w:p>
            <w:pPr>
              <w:pStyle w:val="13"/>
            </w:pPr>
            <w:r>
              <w:t>&lt;1次</w:t>
            </w:r>
          </w:p>
        </w:tc>
        <w:tc>
          <w:tcPr>
            <w:tcW w:w="2466" w:type="dxa"/>
            <w:vAlign w:val="center"/>
          </w:tcPr>
          <w:p>
            <w:pPr>
              <w:pStyle w:val="13"/>
            </w:pPr>
            <w:r>
              <w:t>当年法律案件发生次数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服务对象满意度</w:t>
            </w:r>
          </w:p>
        </w:tc>
        <w:tc>
          <w:tcPr>
            <w:tcW w:w="2466" w:type="dxa"/>
            <w:vAlign w:val="center"/>
          </w:tcPr>
          <w:p>
            <w:pPr>
              <w:pStyle w:val="13"/>
            </w:pPr>
            <w:r>
              <w:t>服务对象满意度</w:t>
            </w:r>
          </w:p>
        </w:tc>
        <w:tc>
          <w:tcPr>
            <w:tcW w:w="2466" w:type="dxa"/>
            <w:vAlign w:val="center"/>
          </w:tcPr>
          <w:p>
            <w:pPr>
              <w:pStyle w:val="13"/>
            </w:pPr>
            <w:r>
              <w:t>≥95%</w:t>
            </w:r>
          </w:p>
        </w:tc>
        <w:tc>
          <w:tcPr>
            <w:tcW w:w="246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17、实施机关前后院排水管道改造绩效目标表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1.通过组织施工单位对机关前后院排水管道进行改造，保障雨季工作人员和办事群众正常出行，从而解决原有管道排水不畅、大面积水，严重影响出行的情况。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改造管道</w:t>
            </w:r>
          </w:p>
        </w:tc>
        <w:tc>
          <w:tcPr>
            <w:tcW w:w="2466" w:type="dxa"/>
            <w:vAlign w:val="center"/>
          </w:tcPr>
          <w:p>
            <w:pPr>
              <w:pStyle w:val="13"/>
            </w:pPr>
            <w:r>
              <w:t>建设、改造、修缮管道</w:t>
            </w:r>
          </w:p>
        </w:tc>
        <w:tc>
          <w:tcPr>
            <w:tcW w:w="2466" w:type="dxa"/>
            <w:vAlign w:val="center"/>
          </w:tcPr>
          <w:p>
            <w:pPr>
              <w:pStyle w:val="13"/>
            </w:pPr>
            <w:r>
              <w:t>≥100米</w:t>
            </w:r>
          </w:p>
        </w:tc>
        <w:tc>
          <w:tcPr>
            <w:tcW w:w="2466" w:type="dxa"/>
            <w:vAlign w:val="center"/>
          </w:tcPr>
          <w:p>
            <w:pPr>
              <w:pStyle w:val="13"/>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工程质量合格率</w:t>
            </w:r>
          </w:p>
        </w:tc>
        <w:tc>
          <w:tcPr>
            <w:tcW w:w="2466" w:type="dxa"/>
            <w:vAlign w:val="center"/>
          </w:tcPr>
          <w:p>
            <w:pPr>
              <w:pStyle w:val="13"/>
            </w:pPr>
            <w:r>
              <w:t>合格的工程数量占工程完工总量的比例</w:t>
            </w:r>
          </w:p>
        </w:tc>
        <w:tc>
          <w:tcPr>
            <w:tcW w:w="2466" w:type="dxa"/>
            <w:vAlign w:val="center"/>
          </w:tcPr>
          <w:p>
            <w:pPr>
              <w:pStyle w:val="13"/>
            </w:pPr>
            <w:r>
              <w:t>≥100%</w:t>
            </w:r>
          </w:p>
        </w:tc>
        <w:tc>
          <w:tcPr>
            <w:tcW w:w="2466" w:type="dxa"/>
            <w:vAlign w:val="center"/>
          </w:tcPr>
          <w:p>
            <w:pPr>
              <w:pStyle w:val="13"/>
            </w:pPr>
            <w:r>
              <w:t>工程验收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施工按计划完工率</w:t>
            </w:r>
          </w:p>
        </w:tc>
        <w:tc>
          <w:tcPr>
            <w:tcW w:w="2466" w:type="dxa"/>
            <w:vAlign w:val="center"/>
          </w:tcPr>
          <w:p>
            <w:pPr>
              <w:pStyle w:val="13"/>
            </w:pPr>
            <w:r>
              <w:t>实际完工时间/计划完工时间</w:t>
            </w:r>
          </w:p>
        </w:tc>
        <w:tc>
          <w:tcPr>
            <w:tcW w:w="2466" w:type="dxa"/>
            <w:vAlign w:val="center"/>
          </w:tcPr>
          <w:p>
            <w:pPr>
              <w:pStyle w:val="13"/>
            </w:pPr>
            <w:r>
              <w:t>≥100%</w:t>
            </w:r>
          </w:p>
        </w:tc>
        <w:tc>
          <w:tcPr>
            <w:tcW w:w="2466" w:type="dxa"/>
            <w:vAlign w:val="center"/>
          </w:tcPr>
          <w:p>
            <w:pPr>
              <w:pStyle w:val="13"/>
            </w:pPr>
            <w:r>
              <w:t>验收程序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支付费用成本</w:t>
            </w:r>
          </w:p>
        </w:tc>
        <w:tc>
          <w:tcPr>
            <w:tcW w:w="2466" w:type="dxa"/>
            <w:vAlign w:val="center"/>
          </w:tcPr>
          <w:p>
            <w:pPr>
              <w:pStyle w:val="13"/>
            </w:pPr>
            <w:r>
              <w:t>根据合同约定支付相关费用</w:t>
            </w:r>
          </w:p>
        </w:tc>
        <w:tc>
          <w:tcPr>
            <w:tcW w:w="2466" w:type="dxa"/>
            <w:vAlign w:val="center"/>
          </w:tcPr>
          <w:p>
            <w:pPr>
              <w:pStyle w:val="13"/>
            </w:pPr>
            <w:r>
              <w:t>≤10万元</w:t>
            </w:r>
          </w:p>
        </w:tc>
        <w:tc>
          <w:tcPr>
            <w:tcW w:w="2466" w:type="dxa"/>
            <w:vAlign w:val="center"/>
          </w:tcPr>
          <w:p>
            <w:pPr>
              <w:pStyle w:val="13"/>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保障率</w:t>
            </w:r>
          </w:p>
        </w:tc>
        <w:tc>
          <w:tcPr>
            <w:tcW w:w="2466" w:type="dxa"/>
            <w:vAlign w:val="center"/>
          </w:tcPr>
          <w:p>
            <w:pPr>
              <w:pStyle w:val="13"/>
            </w:pPr>
            <w:r>
              <w:t>实际保障人员数量/应保障人员数量</w:t>
            </w:r>
          </w:p>
        </w:tc>
        <w:tc>
          <w:tcPr>
            <w:tcW w:w="2466" w:type="dxa"/>
            <w:vAlign w:val="center"/>
          </w:tcPr>
          <w:p>
            <w:pPr>
              <w:pStyle w:val="13"/>
            </w:pPr>
            <w:r>
              <w:t>≥100%</w:t>
            </w:r>
          </w:p>
        </w:tc>
        <w:tc>
          <w:tcPr>
            <w:tcW w:w="246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通行率</w:t>
            </w:r>
          </w:p>
        </w:tc>
        <w:tc>
          <w:tcPr>
            <w:tcW w:w="2466" w:type="dxa"/>
            <w:vAlign w:val="center"/>
          </w:tcPr>
          <w:p>
            <w:pPr>
              <w:pStyle w:val="13"/>
            </w:pPr>
            <w:r>
              <w:t>雨季通行工作人员/雨季应通行工作人员</w:t>
            </w:r>
          </w:p>
        </w:tc>
        <w:tc>
          <w:tcPr>
            <w:tcW w:w="2466" w:type="dxa"/>
            <w:vAlign w:val="center"/>
          </w:tcPr>
          <w:p>
            <w:pPr>
              <w:pStyle w:val="13"/>
            </w:pPr>
            <w:r>
              <w:t>≥100%</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服务对象满意度</w:t>
            </w:r>
          </w:p>
        </w:tc>
        <w:tc>
          <w:tcPr>
            <w:tcW w:w="2466" w:type="dxa"/>
            <w:vAlign w:val="center"/>
          </w:tcPr>
          <w:p>
            <w:pPr>
              <w:pStyle w:val="13"/>
            </w:pPr>
            <w:r>
              <w:t>服务对象满意度</w:t>
            </w:r>
          </w:p>
        </w:tc>
        <w:tc>
          <w:tcPr>
            <w:tcW w:w="2466" w:type="dxa"/>
            <w:vAlign w:val="center"/>
          </w:tcPr>
          <w:p>
            <w:pPr>
              <w:pStyle w:val="13"/>
            </w:pPr>
            <w:r>
              <w:t>≥95%</w:t>
            </w:r>
          </w:p>
        </w:tc>
        <w:tc>
          <w:tcPr>
            <w:tcW w:w="246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18、提前下达2022年中央财政医疗服务与保障能力提升补助资金 冀财社（2021）164号绩效目标表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1.根据《河北省财政厅 河北省医保局关于提前下达2022年中央财政医疗服务与保障能力提升补助资金的通知》（冀财社（2021）164号），要提升医保信息化水平，保障能力提升，保障医保事业管理中心业务更加顺畅地开展，不断提高服务水平，提升广大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信息化建设购置设备</w:t>
            </w:r>
          </w:p>
        </w:tc>
        <w:tc>
          <w:tcPr>
            <w:tcW w:w="2466" w:type="dxa"/>
            <w:vAlign w:val="center"/>
          </w:tcPr>
          <w:p>
            <w:pPr>
              <w:pStyle w:val="13"/>
            </w:pPr>
            <w:r>
              <w:t>强化信息化建设，需购置打印设备</w:t>
            </w:r>
          </w:p>
        </w:tc>
        <w:tc>
          <w:tcPr>
            <w:tcW w:w="2466" w:type="dxa"/>
            <w:vAlign w:val="center"/>
          </w:tcPr>
          <w:p>
            <w:pPr>
              <w:pStyle w:val="13"/>
            </w:pPr>
            <w:r>
              <w:t>1台</w:t>
            </w:r>
          </w:p>
        </w:tc>
        <w:tc>
          <w:tcPr>
            <w:tcW w:w="2466" w:type="dxa"/>
            <w:vAlign w:val="center"/>
          </w:tcPr>
          <w:p>
            <w:pPr>
              <w:pStyle w:val="13"/>
            </w:pPr>
            <w:r>
              <w:t>2022年计划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数量指标</w:t>
            </w:r>
          </w:p>
        </w:tc>
        <w:tc>
          <w:tcPr>
            <w:tcW w:w="2466" w:type="dxa"/>
            <w:vAlign w:val="center"/>
          </w:tcPr>
          <w:p>
            <w:pPr>
              <w:pStyle w:val="13"/>
            </w:pPr>
            <w:r>
              <w:t>信息化建设购置设备</w:t>
            </w:r>
          </w:p>
        </w:tc>
        <w:tc>
          <w:tcPr>
            <w:tcW w:w="2466" w:type="dxa"/>
            <w:vAlign w:val="center"/>
          </w:tcPr>
          <w:p>
            <w:pPr>
              <w:pStyle w:val="13"/>
            </w:pPr>
            <w:r>
              <w:t>强化信息化建设，需购置电脑设备</w:t>
            </w:r>
          </w:p>
        </w:tc>
        <w:tc>
          <w:tcPr>
            <w:tcW w:w="2466" w:type="dxa"/>
            <w:vAlign w:val="center"/>
          </w:tcPr>
          <w:p>
            <w:pPr>
              <w:pStyle w:val="13"/>
            </w:pPr>
            <w:r>
              <w:t>7台</w:t>
            </w:r>
          </w:p>
        </w:tc>
        <w:tc>
          <w:tcPr>
            <w:tcW w:w="2466" w:type="dxa"/>
            <w:vAlign w:val="center"/>
          </w:tcPr>
          <w:p>
            <w:pPr>
              <w:pStyle w:val="13"/>
            </w:pPr>
            <w:r>
              <w:t>2022年计划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数量指标</w:t>
            </w:r>
          </w:p>
        </w:tc>
        <w:tc>
          <w:tcPr>
            <w:tcW w:w="2466" w:type="dxa"/>
            <w:vAlign w:val="center"/>
          </w:tcPr>
          <w:p>
            <w:pPr>
              <w:pStyle w:val="13"/>
            </w:pPr>
            <w:r>
              <w:t>培训次数</w:t>
            </w:r>
          </w:p>
        </w:tc>
        <w:tc>
          <w:tcPr>
            <w:tcW w:w="2466" w:type="dxa"/>
            <w:vAlign w:val="center"/>
          </w:tcPr>
          <w:p>
            <w:pPr>
              <w:pStyle w:val="13"/>
            </w:pPr>
            <w:r>
              <w:t>开展能力提升培训次数</w:t>
            </w:r>
          </w:p>
        </w:tc>
        <w:tc>
          <w:tcPr>
            <w:tcW w:w="2466" w:type="dxa"/>
            <w:vAlign w:val="center"/>
          </w:tcPr>
          <w:p>
            <w:pPr>
              <w:pStyle w:val="13"/>
            </w:pPr>
            <w:r>
              <w:t>≥3次数</w:t>
            </w:r>
          </w:p>
        </w:tc>
        <w:tc>
          <w:tcPr>
            <w:tcW w:w="2466" w:type="dxa"/>
            <w:vAlign w:val="center"/>
          </w:tcPr>
          <w:p>
            <w:pPr>
              <w:pStyle w:val="13"/>
            </w:pPr>
            <w:r>
              <w:t>2022年计划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设备验收合格率</w:t>
            </w:r>
          </w:p>
        </w:tc>
        <w:tc>
          <w:tcPr>
            <w:tcW w:w="2466" w:type="dxa"/>
            <w:vAlign w:val="center"/>
          </w:tcPr>
          <w:p>
            <w:pPr>
              <w:pStyle w:val="13"/>
            </w:pPr>
            <w:r>
              <w:t>设备验收合格数量占全部设备的比例</w:t>
            </w:r>
          </w:p>
        </w:tc>
        <w:tc>
          <w:tcPr>
            <w:tcW w:w="2466" w:type="dxa"/>
            <w:vAlign w:val="center"/>
          </w:tcPr>
          <w:p>
            <w:pPr>
              <w:pStyle w:val="13"/>
            </w:pPr>
            <w:r>
              <w:t>≥100百分比</w:t>
            </w:r>
          </w:p>
        </w:tc>
        <w:tc>
          <w:tcPr>
            <w:tcW w:w="2466" w:type="dxa"/>
            <w:vAlign w:val="center"/>
          </w:tcPr>
          <w:p>
            <w:pPr>
              <w:pStyle w:val="13"/>
            </w:pPr>
            <w:r>
              <w:t>依据实际报销人次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设备购置及时率</w:t>
            </w:r>
          </w:p>
        </w:tc>
        <w:tc>
          <w:tcPr>
            <w:tcW w:w="2466" w:type="dxa"/>
            <w:vAlign w:val="center"/>
          </w:tcPr>
          <w:p>
            <w:pPr>
              <w:pStyle w:val="13"/>
            </w:pPr>
            <w:r>
              <w:t>设备购置是否按计划完成</w:t>
            </w:r>
          </w:p>
        </w:tc>
        <w:tc>
          <w:tcPr>
            <w:tcW w:w="2466" w:type="dxa"/>
            <w:vAlign w:val="center"/>
          </w:tcPr>
          <w:p>
            <w:pPr>
              <w:pStyle w:val="13"/>
            </w:pPr>
            <w:r>
              <w:t>≥100百分比</w:t>
            </w:r>
          </w:p>
        </w:tc>
        <w:tc>
          <w:tcPr>
            <w:tcW w:w="2466" w:type="dxa"/>
            <w:vAlign w:val="center"/>
          </w:tcPr>
          <w:p>
            <w:pPr>
              <w:pStyle w:val="13"/>
            </w:pPr>
            <w:r>
              <w:t>冀医保字〔2020〕36号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培训成本</w:t>
            </w:r>
          </w:p>
        </w:tc>
        <w:tc>
          <w:tcPr>
            <w:tcW w:w="2466" w:type="dxa"/>
            <w:vAlign w:val="center"/>
          </w:tcPr>
          <w:p>
            <w:pPr>
              <w:pStyle w:val="13"/>
            </w:pPr>
            <w:r>
              <w:t>开展培训会总成本</w:t>
            </w:r>
          </w:p>
        </w:tc>
        <w:tc>
          <w:tcPr>
            <w:tcW w:w="2466" w:type="dxa"/>
            <w:vAlign w:val="center"/>
          </w:tcPr>
          <w:p>
            <w:pPr>
              <w:pStyle w:val="13"/>
            </w:pPr>
            <w:r>
              <w:t>≤1.5万元</w:t>
            </w:r>
          </w:p>
        </w:tc>
        <w:tc>
          <w:tcPr>
            <w:tcW w:w="2466" w:type="dxa"/>
            <w:vAlign w:val="center"/>
          </w:tcPr>
          <w:p>
            <w:pPr>
              <w:pStyle w:val="13"/>
            </w:pPr>
            <w:r>
              <w:t>2022年计划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购置成本</w:t>
            </w:r>
          </w:p>
        </w:tc>
        <w:tc>
          <w:tcPr>
            <w:tcW w:w="2466" w:type="dxa"/>
            <w:vAlign w:val="center"/>
          </w:tcPr>
          <w:p>
            <w:pPr>
              <w:pStyle w:val="13"/>
            </w:pPr>
            <w:r>
              <w:t>购置设备总成本</w:t>
            </w:r>
          </w:p>
        </w:tc>
        <w:tc>
          <w:tcPr>
            <w:tcW w:w="2466" w:type="dxa"/>
            <w:vAlign w:val="center"/>
          </w:tcPr>
          <w:p>
            <w:pPr>
              <w:pStyle w:val="13"/>
            </w:pPr>
            <w:r>
              <w:t>≤3.5万元</w:t>
            </w:r>
          </w:p>
        </w:tc>
        <w:tc>
          <w:tcPr>
            <w:tcW w:w="2466" w:type="dxa"/>
            <w:vAlign w:val="center"/>
          </w:tcPr>
          <w:p>
            <w:pPr>
              <w:pStyle w:val="13"/>
            </w:pPr>
            <w:r>
              <w:t>2022年计划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医保信息化水平提升</w:t>
            </w:r>
          </w:p>
        </w:tc>
        <w:tc>
          <w:tcPr>
            <w:tcW w:w="2466" w:type="dxa"/>
            <w:vAlign w:val="center"/>
          </w:tcPr>
          <w:p>
            <w:pPr>
              <w:pStyle w:val="13"/>
            </w:pPr>
            <w:r>
              <w:t>提升医保信息化水平</w:t>
            </w:r>
          </w:p>
        </w:tc>
        <w:tc>
          <w:tcPr>
            <w:tcW w:w="2466" w:type="dxa"/>
            <w:vAlign w:val="center"/>
          </w:tcPr>
          <w:p>
            <w:pPr>
              <w:pStyle w:val="13"/>
            </w:pPr>
            <w:r>
              <w:t>有效提升</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设备正常使用年限</w:t>
            </w:r>
          </w:p>
        </w:tc>
        <w:tc>
          <w:tcPr>
            <w:tcW w:w="2466" w:type="dxa"/>
            <w:vAlign w:val="center"/>
          </w:tcPr>
          <w:p>
            <w:pPr>
              <w:pStyle w:val="13"/>
            </w:pPr>
            <w:r>
              <w:t>信息化设备正常使用的年限</w:t>
            </w:r>
          </w:p>
        </w:tc>
        <w:tc>
          <w:tcPr>
            <w:tcW w:w="2466" w:type="dxa"/>
            <w:vAlign w:val="center"/>
          </w:tcPr>
          <w:p>
            <w:pPr>
              <w:pStyle w:val="13"/>
            </w:pPr>
            <w:r>
              <w:t>≥3年</w:t>
            </w:r>
          </w:p>
        </w:tc>
        <w:tc>
          <w:tcPr>
            <w:tcW w:w="2466" w:type="dxa"/>
            <w:vAlign w:val="center"/>
          </w:tcPr>
          <w:p>
            <w:pPr>
              <w:pStyle w:val="13"/>
            </w:pPr>
            <w:r>
              <w:t>工作方案卷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受益群众满意度</w:t>
            </w:r>
          </w:p>
        </w:tc>
        <w:tc>
          <w:tcPr>
            <w:tcW w:w="2466" w:type="dxa"/>
            <w:vAlign w:val="center"/>
          </w:tcPr>
          <w:p>
            <w:pPr>
              <w:pStyle w:val="13"/>
            </w:pPr>
            <w:r>
              <w:t>受益群众满意程度</w:t>
            </w:r>
          </w:p>
        </w:tc>
        <w:tc>
          <w:tcPr>
            <w:tcW w:w="2466" w:type="dxa"/>
            <w:vAlign w:val="center"/>
          </w:tcPr>
          <w:p>
            <w:pPr>
              <w:pStyle w:val="13"/>
            </w:pPr>
            <w:r>
              <w:t>≥95百分比</w:t>
            </w:r>
          </w:p>
        </w:tc>
        <w:tc>
          <w:tcPr>
            <w:tcW w:w="2466" w:type="dxa"/>
            <w:vAlign w:val="center"/>
          </w:tcPr>
          <w:p>
            <w:pPr>
              <w:pStyle w:val="13"/>
            </w:pPr>
            <w:r>
              <w:t>群众满意度建设</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19、通用办公设备及家具配置费用绩效目标表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1.通过对所需通用办公设备及家具缺失情况进行统计完成各类办公设备和家具的购置工作，保障日常办公需求，实现业务保障能力明显提高的目标。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电脑</w:t>
            </w:r>
          </w:p>
        </w:tc>
        <w:tc>
          <w:tcPr>
            <w:tcW w:w="2466" w:type="dxa"/>
            <w:vAlign w:val="center"/>
          </w:tcPr>
          <w:p>
            <w:pPr>
              <w:pStyle w:val="13"/>
            </w:pPr>
            <w:r>
              <w:t>新购置电脑</w:t>
            </w:r>
          </w:p>
        </w:tc>
        <w:tc>
          <w:tcPr>
            <w:tcW w:w="2466" w:type="dxa"/>
            <w:vAlign w:val="center"/>
          </w:tcPr>
          <w:p>
            <w:pPr>
              <w:pStyle w:val="13"/>
            </w:pPr>
            <w:r>
              <w:t>≥3台</w:t>
            </w:r>
          </w:p>
        </w:tc>
        <w:tc>
          <w:tcPr>
            <w:tcW w:w="246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数量指标</w:t>
            </w:r>
          </w:p>
        </w:tc>
        <w:tc>
          <w:tcPr>
            <w:tcW w:w="2466" w:type="dxa"/>
            <w:vAlign w:val="center"/>
          </w:tcPr>
          <w:p>
            <w:pPr>
              <w:pStyle w:val="13"/>
            </w:pPr>
            <w:r>
              <w:t>打印机</w:t>
            </w:r>
          </w:p>
        </w:tc>
        <w:tc>
          <w:tcPr>
            <w:tcW w:w="2466" w:type="dxa"/>
            <w:vAlign w:val="center"/>
          </w:tcPr>
          <w:p>
            <w:pPr>
              <w:pStyle w:val="13"/>
            </w:pPr>
            <w:r>
              <w:t>新购置打印机</w:t>
            </w:r>
          </w:p>
        </w:tc>
        <w:tc>
          <w:tcPr>
            <w:tcW w:w="2466" w:type="dxa"/>
            <w:vAlign w:val="center"/>
          </w:tcPr>
          <w:p>
            <w:pPr>
              <w:pStyle w:val="13"/>
            </w:pPr>
            <w:r>
              <w:t>≥2台</w:t>
            </w:r>
          </w:p>
        </w:tc>
        <w:tc>
          <w:tcPr>
            <w:tcW w:w="246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数量指标</w:t>
            </w:r>
          </w:p>
        </w:tc>
        <w:tc>
          <w:tcPr>
            <w:tcW w:w="2466" w:type="dxa"/>
            <w:vAlign w:val="center"/>
          </w:tcPr>
          <w:p>
            <w:pPr>
              <w:pStyle w:val="13"/>
            </w:pPr>
            <w:r>
              <w:t>会议椅类</w:t>
            </w:r>
          </w:p>
        </w:tc>
        <w:tc>
          <w:tcPr>
            <w:tcW w:w="2466" w:type="dxa"/>
            <w:vAlign w:val="center"/>
          </w:tcPr>
          <w:p>
            <w:pPr>
              <w:pStyle w:val="13"/>
            </w:pPr>
            <w:r>
              <w:t>新购置会议椅类</w:t>
            </w:r>
          </w:p>
        </w:tc>
        <w:tc>
          <w:tcPr>
            <w:tcW w:w="2466" w:type="dxa"/>
            <w:vAlign w:val="center"/>
          </w:tcPr>
          <w:p>
            <w:pPr>
              <w:pStyle w:val="13"/>
            </w:pPr>
            <w:r>
              <w:t>≥73把/组</w:t>
            </w:r>
          </w:p>
        </w:tc>
        <w:tc>
          <w:tcPr>
            <w:tcW w:w="246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数量指标</w:t>
            </w:r>
          </w:p>
        </w:tc>
        <w:tc>
          <w:tcPr>
            <w:tcW w:w="2466" w:type="dxa"/>
            <w:vAlign w:val="center"/>
          </w:tcPr>
          <w:p>
            <w:pPr>
              <w:pStyle w:val="13"/>
            </w:pPr>
            <w:r>
              <w:t>会议桌类</w:t>
            </w:r>
          </w:p>
        </w:tc>
        <w:tc>
          <w:tcPr>
            <w:tcW w:w="2466" w:type="dxa"/>
            <w:vAlign w:val="center"/>
          </w:tcPr>
          <w:p>
            <w:pPr>
              <w:pStyle w:val="13"/>
            </w:pPr>
            <w:r>
              <w:t>新购置会议桌类</w:t>
            </w:r>
          </w:p>
        </w:tc>
        <w:tc>
          <w:tcPr>
            <w:tcW w:w="2466" w:type="dxa"/>
            <w:vAlign w:val="center"/>
          </w:tcPr>
          <w:p>
            <w:pPr>
              <w:pStyle w:val="13"/>
            </w:pPr>
            <w:r>
              <w:t>≥14组</w:t>
            </w:r>
          </w:p>
        </w:tc>
        <w:tc>
          <w:tcPr>
            <w:tcW w:w="246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购置产品合格率</w:t>
            </w:r>
          </w:p>
        </w:tc>
        <w:tc>
          <w:tcPr>
            <w:tcW w:w="2466" w:type="dxa"/>
            <w:vAlign w:val="center"/>
          </w:tcPr>
          <w:p>
            <w:pPr>
              <w:pStyle w:val="13"/>
            </w:pPr>
            <w:r>
              <w:t>购置产品符合国家产品质量相关规定</w:t>
            </w:r>
          </w:p>
        </w:tc>
        <w:tc>
          <w:tcPr>
            <w:tcW w:w="2466" w:type="dxa"/>
            <w:vAlign w:val="center"/>
          </w:tcPr>
          <w:p>
            <w:pPr>
              <w:pStyle w:val="13"/>
            </w:pPr>
            <w:r>
              <w:t>≥100%</w:t>
            </w:r>
          </w:p>
        </w:tc>
        <w:tc>
          <w:tcPr>
            <w:tcW w:w="2466" w:type="dxa"/>
            <w:vAlign w:val="center"/>
          </w:tcPr>
          <w:p>
            <w:pPr>
              <w:pStyle w:val="13"/>
            </w:pPr>
            <w:r>
              <w:t>验收程序、合格证明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及时率</w:t>
            </w:r>
          </w:p>
        </w:tc>
        <w:tc>
          <w:tcPr>
            <w:tcW w:w="2466" w:type="dxa"/>
            <w:vAlign w:val="center"/>
          </w:tcPr>
          <w:p>
            <w:pPr>
              <w:pStyle w:val="13"/>
            </w:pPr>
            <w:r>
              <w:t>根据合同约定及时完成产品购置</w:t>
            </w:r>
          </w:p>
        </w:tc>
        <w:tc>
          <w:tcPr>
            <w:tcW w:w="2466" w:type="dxa"/>
            <w:vAlign w:val="center"/>
          </w:tcPr>
          <w:p>
            <w:pPr>
              <w:pStyle w:val="13"/>
            </w:pPr>
            <w:r>
              <w:t>100%</w:t>
            </w:r>
          </w:p>
        </w:tc>
        <w:tc>
          <w:tcPr>
            <w:tcW w:w="246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单一成本</w:t>
            </w:r>
          </w:p>
        </w:tc>
        <w:tc>
          <w:tcPr>
            <w:tcW w:w="2466" w:type="dxa"/>
            <w:vAlign w:val="center"/>
          </w:tcPr>
          <w:p>
            <w:pPr>
              <w:pStyle w:val="13"/>
            </w:pPr>
            <w:r>
              <w:t>单台电脑成本</w:t>
            </w:r>
          </w:p>
        </w:tc>
        <w:tc>
          <w:tcPr>
            <w:tcW w:w="2466" w:type="dxa"/>
            <w:vAlign w:val="center"/>
          </w:tcPr>
          <w:p>
            <w:pPr>
              <w:pStyle w:val="13"/>
            </w:pPr>
            <w:r>
              <w:t>≤4950元</w:t>
            </w:r>
          </w:p>
        </w:tc>
        <w:tc>
          <w:tcPr>
            <w:tcW w:w="246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单一成本</w:t>
            </w:r>
          </w:p>
        </w:tc>
        <w:tc>
          <w:tcPr>
            <w:tcW w:w="2466" w:type="dxa"/>
            <w:vAlign w:val="center"/>
          </w:tcPr>
          <w:p>
            <w:pPr>
              <w:pStyle w:val="13"/>
            </w:pPr>
            <w:r>
              <w:t>单台打印机成本</w:t>
            </w:r>
          </w:p>
        </w:tc>
        <w:tc>
          <w:tcPr>
            <w:tcW w:w="2466" w:type="dxa"/>
            <w:vAlign w:val="center"/>
          </w:tcPr>
          <w:p>
            <w:pPr>
              <w:pStyle w:val="13"/>
            </w:pPr>
            <w:r>
              <w:t>≤1800元</w:t>
            </w:r>
          </w:p>
        </w:tc>
        <w:tc>
          <w:tcPr>
            <w:tcW w:w="246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总成本</w:t>
            </w:r>
          </w:p>
        </w:tc>
        <w:tc>
          <w:tcPr>
            <w:tcW w:w="2466" w:type="dxa"/>
            <w:vAlign w:val="center"/>
          </w:tcPr>
          <w:p>
            <w:pPr>
              <w:pStyle w:val="13"/>
            </w:pPr>
            <w:r>
              <w:t>购置会议椅类总成本</w:t>
            </w:r>
          </w:p>
        </w:tc>
        <w:tc>
          <w:tcPr>
            <w:tcW w:w="2466" w:type="dxa"/>
            <w:vAlign w:val="center"/>
          </w:tcPr>
          <w:p>
            <w:pPr>
              <w:pStyle w:val="13"/>
            </w:pPr>
            <w:r>
              <w:t>≤37600元</w:t>
            </w:r>
          </w:p>
        </w:tc>
        <w:tc>
          <w:tcPr>
            <w:tcW w:w="246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总成本</w:t>
            </w:r>
          </w:p>
        </w:tc>
        <w:tc>
          <w:tcPr>
            <w:tcW w:w="2466" w:type="dxa"/>
            <w:vAlign w:val="center"/>
          </w:tcPr>
          <w:p>
            <w:pPr>
              <w:pStyle w:val="13"/>
            </w:pPr>
            <w:r>
              <w:t>购置会议桌类总成本</w:t>
            </w:r>
          </w:p>
        </w:tc>
        <w:tc>
          <w:tcPr>
            <w:tcW w:w="2466" w:type="dxa"/>
            <w:vAlign w:val="center"/>
          </w:tcPr>
          <w:p>
            <w:pPr>
              <w:pStyle w:val="13"/>
            </w:pPr>
            <w:r>
              <w:t>≤43950元</w:t>
            </w:r>
          </w:p>
        </w:tc>
        <w:tc>
          <w:tcPr>
            <w:tcW w:w="246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保障办公人数</w:t>
            </w:r>
          </w:p>
        </w:tc>
        <w:tc>
          <w:tcPr>
            <w:tcW w:w="2466" w:type="dxa"/>
            <w:vAlign w:val="center"/>
          </w:tcPr>
          <w:p>
            <w:pPr>
              <w:pStyle w:val="13"/>
            </w:pPr>
            <w:r>
              <w:t>购置办公设备及家具保障办公需要的人数</w:t>
            </w:r>
          </w:p>
        </w:tc>
        <w:tc>
          <w:tcPr>
            <w:tcW w:w="2466" w:type="dxa"/>
            <w:vAlign w:val="center"/>
          </w:tcPr>
          <w:p>
            <w:pPr>
              <w:pStyle w:val="13"/>
            </w:pPr>
            <w:r>
              <w:t>≥50人</w:t>
            </w:r>
          </w:p>
        </w:tc>
        <w:tc>
          <w:tcPr>
            <w:tcW w:w="2466" w:type="dxa"/>
            <w:vAlign w:val="center"/>
          </w:tcPr>
          <w:p>
            <w:pPr>
              <w:pStyle w:val="13"/>
            </w:pPr>
            <w:r>
              <w:t>实际办公人数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设备使用年限</w:t>
            </w:r>
          </w:p>
        </w:tc>
        <w:tc>
          <w:tcPr>
            <w:tcW w:w="2466" w:type="dxa"/>
            <w:vAlign w:val="center"/>
          </w:tcPr>
          <w:p>
            <w:pPr>
              <w:pStyle w:val="13"/>
            </w:pPr>
            <w:r>
              <w:t>设备可使用年限</w:t>
            </w:r>
          </w:p>
        </w:tc>
        <w:tc>
          <w:tcPr>
            <w:tcW w:w="2466" w:type="dxa"/>
            <w:vAlign w:val="center"/>
          </w:tcPr>
          <w:p>
            <w:pPr>
              <w:pStyle w:val="13"/>
            </w:pPr>
            <w:r>
              <w:t>≥3年</w:t>
            </w:r>
          </w:p>
        </w:tc>
        <w:tc>
          <w:tcPr>
            <w:tcW w:w="2466" w:type="dxa"/>
            <w:vAlign w:val="center"/>
          </w:tcPr>
          <w:p>
            <w:pPr>
              <w:pStyle w:val="13"/>
            </w:pPr>
            <w:r>
              <w:t>设备使用年限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服务对象满意度</w:t>
            </w:r>
          </w:p>
        </w:tc>
        <w:tc>
          <w:tcPr>
            <w:tcW w:w="2466" w:type="dxa"/>
            <w:vAlign w:val="center"/>
          </w:tcPr>
          <w:p>
            <w:pPr>
              <w:pStyle w:val="13"/>
            </w:pPr>
            <w:r>
              <w:t>服务对象满意度</w:t>
            </w:r>
          </w:p>
        </w:tc>
        <w:tc>
          <w:tcPr>
            <w:tcW w:w="2466" w:type="dxa"/>
            <w:vAlign w:val="center"/>
          </w:tcPr>
          <w:p>
            <w:pPr>
              <w:pStyle w:val="13"/>
            </w:pPr>
            <w:r>
              <w:t>≥95%</w:t>
            </w:r>
          </w:p>
        </w:tc>
        <w:tc>
          <w:tcPr>
            <w:tcW w:w="246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20、新冠病毒疫苗及接种费用县级补助资金（2021年2月6日至6月30日）绩效目标表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1.通过项目的开展，保障新冠病毒疫苗及接种费用县级财政补助资金全额到位，保证国家的全民疫苗接种计划战略的顺利实施。</w:t>
            </w:r>
          </w:p>
          <w:p>
            <w:pPr>
              <w:pStyle w:val="13"/>
            </w:pPr>
            <w:r>
              <w:t>2.通过项目的开展，保障新冠病毒疫苗及接种费用县级财政补助资金全额到位，保证国家的全民疫苗接种计划战略的顺利实施。</w:t>
            </w:r>
          </w:p>
          <w:p>
            <w:pPr>
              <w:pStyle w:val="13"/>
            </w:pPr>
            <w:r>
              <w:t>3.通过项目的开展，保障新冠病毒疫苗及接种费用县级财政补助资金全额到位，保证国家的全民疫苗接种计划战略的顺利实施。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新冠病毒疫苗接种人次</w:t>
            </w:r>
          </w:p>
        </w:tc>
        <w:tc>
          <w:tcPr>
            <w:tcW w:w="2466" w:type="dxa"/>
            <w:vAlign w:val="center"/>
          </w:tcPr>
          <w:p>
            <w:pPr>
              <w:pStyle w:val="13"/>
            </w:pPr>
            <w:r>
              <w:t>2021年2月6日-6月30日，我县新冠病毒疫苗接种人次</w:t>
            </w:r>
          </w:p>
        </w:tc>
        <w:tc>
          <w:tcPr>
            <w:tcW w:w="2466" w:type="dxa"/>
            <w:vAlign w:val="center"/>
          </w:tcPr>
          <w:p>
            <w:pPr>
              <w:pStyle w:val="13"/>
            </w:pPr>
            <w:r>
              <w:t>214275人次</w:t>
            </w:r>
          </w:p>
        </w:tc>
        <w:tc>
          <w:tcPr>
            <w:tcW w:w="2466" w:type="dxa"/>
            <w:vAlign w:val="center"/>
          </w:tcPr>
          <w:p>
            <w:pPr>
              <w:pStyle w:val="13"/>
            </w:pPr>
            <w:r>
              <w:t>省卫健委、医保局、财政厅三部门下发结算表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资金支付准确率</w:t>
            </w:r>
          </w:p>
        </w:tc>
        <w:tc>
          <w:tcPr>
            <w:tcW w:w="2466" w:type="dxa"/>
            <w:vAlign w:val="center"/>
          </w:tcPr>
          <w:p>
            <w:pPr>
              <w:pStyle w:val="13"/>
            </w:pPr>
            <w:r>
              <w:t>2021年2月6日-6月31日，我县财政实际上缴的县级补助资金金额与应上缴金额的比值</w:t>
            </w:r>
          </w:p>
        </w:tc>
        <w:tc>
          <w:tcPr>
            <w:tcW w:w="2466" w:type="dxa"/>
            <w:vAlign w:val="center"/>
          </w:tcPr>
          <w:p>
            <w:pPr>
              <w:pStyle w:val="13"/>
            </w:pPr>
            <w:r>
              <w:t>100比率</w:t>
            </w:r>
          </w:p>
        </w:tc>
        <w:tc>
          <w:tcPr>
            <w:tcW w:w="2466" w:type="dxa"/>
            <w:vAlign w:val="center"/>
          </w:tcPr>
          <w:p>
            <w:pPr>
              <w:pStyle w:val="13"/>
            </w:pPr>
            <w:r>
              <w:t>依据实际上缴金额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资金上缴及时率</w:t>
            </w:r>
          </w:p>
        </w:tc>
        <w:tc>
          <w:tcPr>
            <w:tcW w:w="2466" w:type="dxa"/>
            <w:vAlign w:val="center"/>
          </w:tcPr>
          <w:p>
            <w:pPr>
              <w:pStyle w:val="13"/>
            </w:pPr>
            <w:r>
              <w:t>县级财政补助资金上缴市级财政完成时效</w:t>
            </w:r>
          </w:p>
        </w:tc>
        <w:tc>
          <w:tcPr>
            <w:tcW w:w="2466" w:type="dxa"/>
            <w:vAlign w:val="center"/>
          </w:tcPr>
          <w:p>
            <w:pPr>
              <w:pStyle w:val="13"/>
            </w:pPr>
            <w:r>
              <w:t>≥100比率</w:t>
            </w:r>
          </w:p>
        </w:tc>
        <w:tc>
          <w:tcPr>
            <w:tcW w:w="2466" w:type="dxa"/>
            <w:vAlign w:val="center"/>
          </w:tcPr>
          <w:p>
            <w:pPr>
              <w:pStyle w:val="13"/>
            </w:pPr>
            <w:r>
              <w:t>依据工作完成时间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每人次接种新冠疫苗平均成本</w:t>
            </w:r>
          </w:p>
        </w:tc>
        <w:tc>
          <w:tcPr>
            <w:tcW w:w="2466" w:type="dxa"/>
            <w:vAlign w:val="center"/>
          </w:tcPr>
          <w:p>
            <w:pPr>
              <w:pStyle w:val="13"/>
            </w:pPr>
            <w:r>
              <w:t>2021年2月6日-6月30日新冠病毒疫苗及接种费用县级财政应承担补助金额</w:t>
            </w:r>
          </w:p>
        </w:tc>
        <w:tc>
          <w:tcPr>
            <w:tcW w:w="2466" w:type="dxa"/>
            <w:vAlign w:val="center"/>
          </w:tcPr>
          <w:p>
            <w:pPr>
              <w:pStyle w:val="13"/>
            </w:pPr>
            <w:r>
              <w:t>≤7.5元</w:t>
            </w:r>
          </w:p>
        </w:tc>
        <w:tc>
          <w:tcPr>
            <w:tcW w:w="2466" w:type="dxa"/>
            <w:vAlign w:val="center"/>
          </w:tcPr>
          <w:p>
            <w:pPr>
              <w:pStyle w:val="13"/>
            </w:pPr>
            <w:r>
              <w:t>省卫健委、医保局、财政厅三部门下发结算表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保障疫苗接种人次</w:t>
            </w:r>
          </w:p>
        </w:tc>
        <w:tc>
          <w:tcPr>
            <w:tcW w:w="2466" w:type="dxa"/>
            <w:vAlign w:val="center"/>
          </w:tcPr>
          <w:p>
            <w:pPr>
              <w:pStyle w:val="13"/>
            </w:pPr>
            <w:r>
              <w:t>考察2021年2月6日-6月30日，新冠病毒疫苗接种人次</w:t>
            </w:r>
          </w:p>
        </w:tc>
        <w:tc>
          <w:tcPr>
            <w:tcW w:w="2466" w:type="dxa"/>
            <w:vAlign w:val="center"/>
          </w:tcPr>
          <w:p>
            <w:pPr>
              <w:pStyle w:val="13"/>
            </w:pPr>
            <w:r>
              <w:t>214275人次</w:t>
            </w:r>
          </w:p>
        </w:tc>
        <w:tc>
          <w:tcPr>
            <w:tcW w:w="2466" w:type="dxa"/>
            <w:vAlign w:val="center"/>
          </w:tcPr>
          <w:p>
            <w:pPr>
              <w:pStyle w:val="13"/>
            </w:pPr>
            <w:r>
              <w:t>根据实际统计数字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管理机制建立情况</w:t>
            </w:r>
          </w:p>
          <w:p>
            <w:pPr>
              <w:pStyle w:val="13"/>
            </w:pPr>
          </w:p>
        </w:tc>
        <w:tc>
          <w:tcPr>
            <w:tcW w:w="2466" w:type="dxa"/>
            <w:vAlign w:val="center"/>
          </w:tcPr>
          <w:p>
            <w:pPr>
              <w:pStyle w:val="13"/>
            </w:pPr>
            <w:r>
              <w:t>考察管理机制建立情况</w:t>
            </w:r>
          </w:p>
        </w:tc>
        <w:tc>
          <w:tcPr>
            <w:tcW w:w="2466" w:type="dxa"/>
            <w:vAlign w:val="center"/>
          </w:tcPr>
          <w:p>
            <w:pPr>
              <w:pStyle w:val="13"/>
            </w:pPr>
            <w:r>
              <w:t>健全</w:t>
            </w:r>
          </w:p>
        </w:tc>
        <w:tc>
          <w:tcPr>
            <w:tcW w:w="2466"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群众对全民接种工作的满意度</w:t>
            </w:r>
          </w:p>
        </w:tc>
        <w:tc>
          <w:tcPr>
            <w:tcW w:w="2466" w:type="dxa"/>
            <w:vAlign w:val="center"/>
          </w:tcPr>
          <w:p>
            <w:pPr>
              <w:pStyle w:val="13"/>
            </w:pPr>
            <w:r>
              <w:t>全民接种工作的群众满意率</w:t>
            </w:r>
          </w:p>
        </w:tc>
        <w:tc>
          <w:tcPr>
            <w:tcW w:w="2466" w:type="dxa"/>
            <w:vAlign w:val="center"/>
          </w:tcPr>
          <w:p>
            <w:pPr>
              <w:pStyle w:val="13"/>
            </w:pPr>
            <w:r>
              <w:t>≥95比率</w:t>
            </w:r>
          </w:p>
        </w:tc>
        <w:tc>
          <w:tcPr>
            <w:tcW w:w="2466" w:type="dxa"/>
            <w:vAlign w:val="center"/>
          </w:tcPr>
          <w:p>
            <w:pPr>
              <w:pStyle w:val="13"/>
            </w:pPr>
            <w:r>
              <w:t>群众满意度建设</w:t>
            </w:r>
          </w:p>
        </w:tc>
      </w:tr>
    </w:tbl>
    <w:p>
      <w:pPr>
        <w:sectPr>
          <w:pgSz w:w="16840" w:h="11900" w:orient="landscape"/>
          <w:pgMar w:top="1361" w:right="1020" w:bottom="1134" w:left="1020" w:header="720" w:footer="720" w:gutter="0"/>
          <w:cols w:space="720" w:num="1"/>
        </w:sectPr>
      </w:pPr>
    </w:p>
    <w:p>
      <w:pPr>
        <w:numPr>
          <w:ilvl w:val="0"/>
          <w:numId w:val="0"/>
        </w:numPr>
        <w:spacing w:before="0" w:after="0"/>
        <w:jc w:val="left"/>
        <w:outlineLvl w:val="9"/>
        <w:rPr>
          <w:rFonts w:ascii="仿宋" w:hAnsi="仿宋" w:eastAsia="仿宋" w:cs="Times New Roman"/>
          <w:sz w:val="28"/>
        </w:rPr>
      </w:pPr>
      <w:r>
        <w:rPr>
          <w:rFonts w:ascii="仿宋" w:hAnsi="仿宋" w:eastAsia="仿宋" w:cs="Times New Roman"/>
          <w:sz w:val="28"/>
        </w:rPr>
        <w:t>21、支付省级以上劳模及计生后遗症报销费用绩效目标表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3"/>
            </w:pPr>
            <w:r>
              <w:t>1.通过支付计划生育后遗症及省级以上劳模人员2021年度住院医疗费中医疗保险基金不予报销部分，保障我县相关报销政策的落实。</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8" w:hRule="atLeast"/>
          <w:jc w:val="center"/>
        </w:trPr>
        <w:tc>
          <w:tcPr>
            <w:tcW w:w="2466" w:type="dxa"/>
            <w:vMerge w:val="restart"/>
            <w:vAlign w:val="center"/>
          </w:tcPr>
          <w:p>
            <w:pPr>
              <w:pStyle w:val="14"/>
            </w:pPr>
            <w:r>
              <w:t>产出指标</w:t>
            </w:r>
          </w:p>
        </w:tc>
        <w:tc>
          <w:tcPr>
            <w:tcW w:w="2466" w:type="dxa"/>
            <w:vAlign w:val="center"/>
          </w:tcPr>
          <w:p>
            <w:pPr>
              <w:pStyle w:val="13"/>
            </w:pPr>
            <w:r>
              <w:t>数量指标</w:t>
            </w:r>
          </w:p>
        </w:tc>
        <w:tc>
          <w:tcPr>
            <w:tcW w:w="2466" w:type="dxa"/>
            <w:vAlign w:val="center"/>
          </w:tcPr>
          <w:p>
            <w:pPr>
              <w:pStyle w:val="13"/>
            </w:pPr>
            <w:r>
              <w:t>实际报销人次</w:t>
            </w:r>
          </w:p>
        </w:tc>
        <w:tc>
          <w:tcPr>
            <w:tcW w:w="2466" w:type="dxa"/>
            <w:vAlign w:val="center"/>
          </w:tcPr>
          <w:p>
            <w:pPr>
              <w:pStyle w:val="13"/>
            </w:pPr>
            <w:r>
              <w:t>本年内符合条件人群的报销人次</w:t>
            </w:r>
          </w:p>
          <w:p>
            <w:pPr>
              <w:pStyle w:val="13"/>
            </w:pPr>
            <w:r>
              <w:t>补助、补贴发放合规人数占发放总人数的比例</w:t>
            </w:r>
          </w:p>
          <w:p>
            <w:pPr>
              <w:pStyle w:val="13"/>
            </w:pPr>
            <w:r>
              <w:t>医疗保险报销事项在规定时间内办结的及时率</w:t>
            </w:r>
          </w:p>
          <w:p>
            <w:pPr>
              <w:pStyle w:val="13"/>
            </w:pPr>
            <w:r>
              <w:t>总成本金额</w:t>
            </w:r>
          </w:p>
          <w:p>
            <w:pPr>
              <w:pStyle w:val="13"/>
            </w:pPr>
          </w:p>
        </w:tc>
        <w:tc>
          <w:tcPr>
            <w:tcW w:w="2466" w:type="dxa"/>
            <w:vAlign w:val="center"/>
          </w:tcPr>
          <w:p>
            <w:pPr>
              <w:pStyle w:val="13"/>
            </w:pPr>
            <w:r>
              <w:t>≥8人次</w:t>
            </w:r>
          </w:p>
        </w:tc>
        <w:tc>
          <w:tcPr>
            <w:tcW w:w="2466" w:type="dxa"/>
            <w:vAlign w:val="center"/>
          </w:tcPr>
          <w:p>
            <w:pPr>
              <w:pStyle w:val="13"/>
            </w:pPr>
            <w:r>
              <w:t>廊政办[2001]68号，2021年8人次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质量指标</w:t>
            </w:r>
          </w:p>
        </w:tc>
        <w:tc>
          <w:tcPr>
            <w:tcW w:w="2466" w:type="dxa"/>
            <w:vAlign w:val="center"/>
          </w:tcPr>
          <w:p>
            <w:pPr>
              <w:pStyle w:val="13"/>
            </w:pPr>
            <w:r>
              <w:t>精准率</w:t>
            </w:r>
          </w:p>
        </w:tc>
        <w:tc>
          <w:tcPr>
            <w:tcW w:w="2466" w:type="dxa"/>
            <w:vAlign w:val="center"/>
          </w:tcPr>
          <w:p>
            <w:pPr>
              <w:pStyle w:val="13"/>
            </w:pPr>
            <w:r>
              <w:t>补助、补贴发放合规人数占发放总人数的比例</w:t>
            </w:r>
          </w:p>
        </w:tc>
        <w:tc>
          <w:tcPr>
            <w:tcW w:w="2466" w:type="dxa"/>
            <w:vAlign w:val="center"/>
          </w:tcPr>
          <w:p>
            <w:pPr>
              <w:pStyle w:val="13"/>
            </w:pPr>
            <w:r>
              <w:t>≥100%</w:t>
            </w:r>
          </w:p>
        </w:tc>
        <w:tc>
          <w:tcPr>
            <w:tcW w:w="2466" w:type="dxa"/>
            <w:vAlign w:val="center"/>
          </w:tcPr>
          <w:p>
            <w:pPr>
              <w:pStyle w:val="13"/>
            </w:pPr>
            <w:r>
              <w:t>2021年全部符合条件已报销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时效指标</w:t>
            </w:r>
          </w:p>
        </w:tc>
        <w:tc>
          <w:tcPr>
            <w:tcW w:w="2466" w:type="dxa"/>
            <w:vAlign w:val="center"/>
          </w:tcPr>
          <w:p>
            <w:pPr>
              <w:pStyle w:val="13"/>
            </w:pPr>
            <w:r>
              <w:t>及时率</w:t>
            </w:r>
          </w:p>
        </w:tc>
        <w:tc>
          <w:tcPr>
            <w:tcW w:w="2466" w:type="dxa"/>
            <w:vAlign w:val="center"/>
          </w:tcPr>
          <w:p>
            <w:pPr>
              <w:pStyle w:val="13"/>
            </w:pPr>
            <w:r>
              <w:t>医疗保险报销事项在规定时间内办结的及时率</w:t>
            </w:r>
          </w:p>
        </w:tc>
        <w:tc>
          <w:tcPr>
            <w:tcW w:w="2466" w:type="dxa"/>
            <w:vAlign w:val="center"/>
          </w:tcPr>
          <w:p>
            <w:pPr>
              <w:pStyle w:val="13"/>
            </w:pPr>
            <w:r>
              <w:t>≤3月</w:t>
            </w:r>
          </w:p>
        </w:tc>
        <w:tc>
          <w:tcPr>
            <w:tcW w:w="2466" w:type="dxa"/>
            <w:vAlign w:val="center"/>
          </w:tcPr>
          <w:p>
            <w:pPr>
              <w:pStyle w:val="13"/>
            </w:pPr>
            <w:r>
              <w:t>冀医保字〔2020〕36号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7" w:hRule="atLeast"/>
          <w:jc w:val="center"/>
        </w:trPr>
        <w:tc>
          <w:tcPr>
            <w:tcW w:w="2466" w:type="dxa"/>
            <w:vMerge w:val="continue"/>
            <w:vAlign w:val="center"/>
          </w:tcPr>
          <w:p/>
        </w:tc>
        <w:tc>
          <w:tcPr>
            <w:tcW w:w="2466" w:type="dxa"/>
            <w:vAlign w:val="center"/>
          </w:tcPr>
          <w:p>
            <w:pPr>
              <w:pStyle w:val="13"/>
            </w:pPr>
            <w:r>
              <w:t>成本指标</w:t>
            </w:r>
          </w:p>
        </w:tc>
        <w:tc>
          <w:tcPr>
            <w:tcW w:w="2466" w:type="dxa"/>
            <w:vAlign w:val="center"/>
          </w:tcPr>
          <w:p>
            <w:pPr>
              <w:pStyle w:val="13"/>
            </w:pPr>
            <w:r>
              <w:t>总成本</w:t>
            </w:r>
          </w:p>
        </w:tc>
        <w:tc>
          <w:tcPr>
            <w:tcW w:w="2466" w:type="dxa"/>
            <w:vAlign w:val="center"/>
          </w:tcPr>
          <w:p>
            <w:pPr>
              <w:pStyle w:val="13"/>
            </w:pPr>
            <w:r>
              <w:t>总成本金额</w:t>
            </w:r>
          </w:p>
        </w:tc>
        <w:tc>
          <w:tcPr>
            <w:tcW w:w="2466" w:type="dxa"/>
            <w:vAlign w:val="center"/>
          </w:tcPr>
          <w:p>
            <w:pPr>
              <w:pStyle w:val="13"/>
            </w:pPr>
            <w:r>
              <w:t>≤15万</w:t>
            </w:r>
          </w:p>
        </w:tc>
        <w:tc>
          <w:tcPr>
            <w:tcW w:w="2466" w:type="dxa"/>
            <w:vAlign w:val="center"/>
          </w:tcPr>
          <w:p>
            <w:pPr>
              <w:pStyle w:val="13"/>
            </w:pPr>
            <w:r>
              <w:t>2021年实际报销10万元，今年预计增加5万元。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9" w:hRule="atLeast"/>
          <w:jc w:val="center"/>
        </w:trPr>
        <w:tc>
          <w:tcPr>
            <w:tcW w:w="2466" w:type="dxa"/>
            <w:vMerge w:val="restart"/>
            <w:vAlign w:val="center"/>
          </w:tcPr>
          <w:p>
            <w:pPr>
              <w:pStyle w:val="14"/>
            </w:pPr>
            <w:r>
              <w:t>效益指标</w:t>
            </w:r>
          </w:p>
        </w:tc>
        <w:tc>
          <w:tcPr>
            <w:tcW w:w="2466" w:type="dxa"/>
            <w:vAlign w:val="center"/>
          </w:tcPr>
          <w:p>
            <w:pPr>
              <w:pStyle w:val="13"/>
            </w:pPr>
            <w:r>
              <w:t>社会效益指标</w:t>
            </w:r>
          </w:p>
        </w:tc>
        <w:tc>
          <w:tcPr>
            <w:tcW w:w="2466" w:type="dxa"/>
            <w:vAlign w:val="center"/>
          </w:tcPr>
          <w:p>
            <w:pPr>
              <w:pStyle w:val="13"/>
            </w:pPr>
            <w:r>
              <w:t>提升政策知晓情况</w:t>
            </w:r>
          </w:p>
        </w:tc>
        <w:tc>
          <w:tcPr>
            <w:tcW w:w="2466" w:type="dxa"/>
            <w:vAlign w:val="center"/>
          </w:tcPr>
          <w:p>
            <w:pPr>
              <w:pStyle w:val="13"/>
            </w:pPr>
            <w:r>
              <w:t>计划生育后遗症人员及省级以上劳模人员对此项政策的知晓情况</w:t>
            </w:r>
          </w:p>
        </w:tc>
        <w:tc>
          <w:tcPr>
            <w:tcW w:w="2466" w:type="dxa"/>
            <w:vAlign w:val="center"/>
          </w:tcPr>
          <w:p>
            <w:pPr>
              <w:pStyle w:val="13"/>
            </w:pPr>
            <w:r>
              <w:t>显著提升</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3"/>
            </w:pPr>
            <w:r>
              <w:t>可持续影响指标</w:t>
            </w:r>
          </w:p>
        </w:tc>
        <w:tc>
          <w:tcPr>
            <w:tcW w:w="2466" w:type="dxa"/>
            <w:vAlign w:val="center"/>
          </w:tcPr>
          <w:p>
            <w:pPr>
              <w:pStyle w:val="13"/>
            </w:pPr>
            <w:r>
              <w:t>支持率</w:t>
            </w:r>
          </w:p>
        </w:tc>
        <w:tc>
          <w:tcPr>
            <w:tcW w:w="2466" w:type="dxa"/>
            <w:vAlign w:val="center"/>
          </w:tcPr>
          <w:p>
            <w:pPr>
              <w:pStyle w:val="13"/>
            </w:pPr>
            <w:r>
              <w:t>广大群众对国家全民医保政策支持率</w:t>
            </w:r>
          </w:p>
        </w:tc>
        <w:tc>
          <w:tcPr>
            <w:tcW w:w="2466" w:type="dxa"/>
            <w:vAlign w:val="center"/>
          </w:tcPr>
          <w:p>
            <w:pPr>
              <w:pStyle w:val="13"/>
            </w:pPr>
            <w:r>
              <w:t>≥90%</w:t>
            </w:r>
          </w:p>
        </w:tc>
        <w:tc>
          <w:tcPr>
            <w:tcW w:w="246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3"/>
            </w:pPr>
            <w:r>
              <w:t>服务对象满意度指标</w:t>
            </w:r>
          </w:p>
        </w:tc>
        <w:tc>
          <w:tcPr>
            <w:tcW w:w="2466" w:type="dxa"/>
            <w:vAlign w:val="center"/>
          </w:tcPr>
          <w:p>
            <w:pPr>
              <w:pStyle w:val="13"/>
            </w:pPr>
            <w:r>
              <w:t>享受待遇人员对医保工作的满意度</w:t>
            </w:r>
          </w:p>
        </w:tc>
        <w:tc>
          <w:tcPr>
            <w:tcW w:w="2466" w:type="dxa"/>
            <w:vAlign w:val="center"/>
          </w:tcPr>
          <w:p>
            <w:pPr>
              <w:pStyle w:val="13"/>
            </w:pPr>
            <w:r>
              <w:t>医保事项办理的满意率</w:t>
            </w:r>
          </w:p>
        </w:tc>
        <w:tc>
          <w:tcPr>
            <w:tcW w:w="2466" w:type="dxa"/>
            <w:vAlign w:val="center"/>
          </w:tcPr>
          <w:p>
            <w:pPr>
              <w:pStyle w:val="13"/>
            </w:pPr>
            <w:r>
              <w:t>≥95%</w:t>
            </w:r>
          </w:p>
        </w:tc>
        <w:tc>
          <w:tcPr>
            <w:tcW w:w="246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1"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年，我部门安排政府采购预算</w:t>
      </w:r>
      <w:r>
        <w:rPr>
          <w:rFonts w:hint="eastAsia" w:ascii="仿宋" w:hAnsi="仿宋" w:eastAsia="仿宋" w:cs="Times New Roman"/>
          <w:sz w:val="32"/>
          <w:szCs w:val="24"/>
          <w:lang w:val="en-US" w:eastAsia="zh-CN"/>
        </w:rPr>
        <w:t>0</w:t>
      </w:r>
      <w:r>
        <w:rPr>
          <w:rFonts w:ascii="仿宋" w:hAnsi="仿宋" w:eastAsia="仿宋"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sz w:val="24"/>
                <w:lang w:val="en-US" w:eastAsia="zh-CN"/>
              </w:rPr>
              <w:t>廊坊市</w:t>
            </w:r>
            <w:r>
              <w:rPr>
                <w:rFonts w:hint="eastAsia" w:ascii="方正小标宋_GBK" w:eastAsia="方正小标宋_GBK" w:cs="Times New Roman"/>
                <w:sz w:val="24"/>
              </w:rPr>
              <w:t>大厂回族自治县</w:t>
            </w:r>
            <w:r>
              <w:rPr>
                <w:rFonts w:hint="eastAsia" w:ascii="方正小标宋_GBK" w:eastAsia="方正小标宋_GBK"/>
                <w:sz w:val="24"/>
                <w:lang w:val="en-US" w:eastAsia="zh-CN"/>
              </w:rPr>
              <w:t>医疗保障局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rPr>
        <w:t>注:</w:t>
      </w:r>
      <w:r>
        <w:rPr>
          <w:rFonts w:hint="eastAsia" w:ascii="Times New Roman" w:hAnsi="Times New Roman" w:eastAsia="仿宋_GB2312" w:cs="Times New Roman"/>
          <w:lang w:val="en-US" w:eastAsia="zh-CN"/>
        </w:rPr>
        <w:t>无部门政府采购预算，空表列示</w:t>
      </w:r>
      <w:r>
        <w:rPr>
          <w:rFonts w:hint="eastAsia" w:ascii="Times New Roman" w:hAnsi="Times New Roman" w:eastAsia="仿宋_GB2312" w:cs="Times New Roman"/>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default" w:ascii="Times New Roman" w:hAnsi="Times New Roman" w:eastAsia="仿宋" w:cs="Times New Roman"/>
          <w:sz w:val="32"/>
          <w:szCs w:val="32"/>
          <w:lang w:val="en-US" w:eastAsia="zh-CN"/>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医疗保障局</w:t>
      </w:r>
      <w:r>
        <w:rPr>
          <w:rFonts w:ascii="仿宋" w:hAnsi="仿宋" w:eastAsia="仿宋" w:cs="Times New Roman"/>
          <w:sz w:val="32"/>
          <w:szCs w:val="32"/>
        </w:rPr>
        <w:t>上年末固定资产金额为</w:t>
      </w:r>
      <w:r>
        <w:rPr>
          <w:rFonts w:hint="eastAsia" w:ascii="仿宋" w:hAnsi="仿宋" w:eastAsia="仿宋" w:cs="Times New Roman"/>
          <w:sz w:val="32"/>
          <w:szCs w:val="32"/>
          <w:lang w:val="en-US" w:eastAsia="zh-CN"/>
        </w:rPr>
        <w:t>296.49</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w:t>
      </w:r>
      <w:r>
        <w:rPr>
          <w:rFonts w:hint="eastAsia" w:ascii="仿宋" w:hAnsi="仿宋" w:eastAsia="仿宋" w:cs="Times New Roman"/>
          <w:sz w:val="32"/>
          <w:szCs w:val="32"/>
          <w:lang w:val="en-US" w:eastAsia="zh-CN"/>
        </w:rPr>
        <w:t>13.5</w:t>
      </w:r>
      <w:r>
        <w:rPr>
          <w:rFonts w:hint="eastAsia" w:ascii="仿宋" w:hAnsi="仿宋" w:eastAsia="仿宋" w:cs="Times New Roman"/>
          <w:sz w:val="32"/>
          <w:szCs w:val="32"/>
        </w:rPr>
        <w:t>万元，</w:t>
      </w:r>
      <w:r>
        <w:rPr>
          <w:rFonts w:ascii="仿宋" w:hAnsi="仿宋" w:eastAsia="仿宋" w:cs="Times New Roman"/>
          <w:sz w:val="32"/>
          <w:szCs w:val="32"/>
        </w:rPr>
        <w:t>主要为</w:t>
      </w:r>
      <w:r>
        <w:rPr>
          <w:rFonts w:hint="eastAsia" w:ascii="仿宋" w:hAnsi="仿宋" w:eastAsia="仿宋" w:cs="Times New Roman"/>
          <w:sz w:val="32"/>
          <w:szCs w:val="32"/>
        </w:rPr>
        <w:t>（</w:t>
      </w:r>
      <w:r>
        <w:rPr>
          <w:rFonts w:ascii="仿宋" w:hAnsi="仿宋" w:eastAsia="仿宋" w:cs="Times New Roman"/>
          <w:sz w:val="32"/>
          <w:szCs w:val="32"/>
        </w:rPr>
        <w:t>计算机设备、打印设备、办公家具</w:t>
      </w:r>
      <w:r>
        <w:rPr>
          <w:rFonts w:hint="eastAsia" w:ascii="仿宋" w:hAnsi="仿宋" w:eastAsia="仿宋" w:cs="Times New Roman"/>
          <w:sz w:val="32"/>
          <w:szCs w:val="32"/>
        </w:rPr>
        <w:t>）</w:t>
      </w:r>
      <w:r>
        <w:rPr>
          <w:rFonts w:ascii="仿宋" w:hAnsi="仿宋" w:eastAsia="仿宋" w:cs="Times New Roman"/>
          <w:sz w:val="32"/>
          <w:szCs w:val="32"/>
        </w:rPr>
        <w:t>等，</w:t>
      </w:r>
      <w:r>
        <w:rPr>
          <w:rFonts w:hint="eastAsia" w:ascii="仿宋" w:hAnsi="仿宋" w:eastAsia="仿宋" w:cs="Times New Roman"/>
          <w:sz w:val="32"/>
          <w:szCs w:val="32"/>
          <w:lang w:val="en-US" w:eastAsia="zh-CN"/>
        </w:rPr>
        <w:t>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val="en-US" w:eastAsia="zh-CN"/>
              </w:rPr>
              <w:t>医疗保障局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296.49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200.51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val="en-US" w:eastAsia="zh-CN"/>
        </w:rPr>
        <w:t>县</w:t>
      </w:r>
      <w:bookmarkStart w:id="3" w:name="_GoBack"/>
      <w:bookmarkEnd w:id="3"/>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50DD"/>
    <w:rsid w:val="000261B2"/>
    <w:rsid w:val="000D16EE"/>
    <w:rsid w:val="001F687F"/>
    <w:rsid w:val="00262092"/>
    <w:rsid w:val="003073D9"/>
    <w:rsid w:val="003909CD"/>
    <w:rsid w:val="00391E11"/>
    <w:rsid w:val="003F44D0"/>
    <w:rsid w:val="003F732C"/>
    <w:rsid w:val="00406D17"/>
    <w:rsid w:val="00457F81"/>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D3546"/>
    <w:rsid w:val="00EE07AC"/>
    <w:rsid w:val="04C84435"/>
    <w:rsid w:val="07A90E95"/>
    <w:rsid w:val="081530D9"/>
    <w:rsid w:val="082C7422"/>
    <w:rsid w:val="0C7E20C8"/>
    <w:rsid w:val="0D210171"/>
    <w:rsid w:val="0DFD29B9"/>
    <w:rsid w:val="0F23580A"/>
    <w:rsid w:val="12710B14"/>
    <w:rsid w:val="154A641E"/>
    <w:rsid w:val="159F1E6E"/>
    <w:rsid w:val="16CC036F"/>
    <w:rsid w:val="173614BD"/>
    <w:rsid w:val="17D2040A"/>
    <w:rsid w:val="17ED7E7D"/>
    <w:rsid w:val="18E77D30"/>
    <w:rsid w:val="19016055"/>
    <w:rsid w:val="192149A5"/>
    <w:rsid w:val="19B3377F"/>
    <w:rsid w:val="1C5B77DD"/>
    <w:rsid w:val="1DF52340"/>
    <w:rsid w:val="1F4B26E9"/>
    <w:rsid w:val="1F761C8E"/>
    <w:rsid w:val="20057C69"/>
    <w:rsid w:val="20517321"/>
    <w:rsid w:val="208B31AB"/>
    <w:rsid w:val="20BF04F0"/>
    <w:rsid w:val="21EF0DE0"/>
    <w:rsid w:val="229133A0"/>
    <w:rsid w:val="2297392A"/>
    <w:rsid w:val="257270DF"/>
    <w:rsid w:val="25D30B3A"/>
    <w:rsid w:val="26AE1D3F"/>
    <w:rsid w:val="26DE7EDF"/>
    <w:rsid w:val="27113E0D"/>
    <w:rsid w:val="27587611"/>
    <w:rsid w:val="27A63BF0"/>
    <w:rsid w:val="27B72062"/>
    <w:rsid w:val="27D92626"/>
    <w:rsid w:val="27E4345B"/>
    <w:rsid w:val="287D4153"/>
    <w:rsid w:val="28A0549D"/>
    <w:rsid w:val="28CF44D6"/>
    <w:rsid w:val="2902409C"/>
    <w:rsid w:val="2C226EA5"/>
    <w:rsid w:val="2C2822F5"/>
    <w:rsid w:val="2C5B4256"/>
    <w:rsid w:val="2CD54962"/>
    <w:rsid w:val="2D104E95"/>
    <w:rsid w:val="2E836029"/>
    <w:rsid w:val="2EA90B44"/>
    <w:rsid w:val="2EAF7269"/>
    <w:rsid w:val="308B2E36"/>
    <w:rsid w:val="31BD61B1"/>
    <w:rsid w:val="31C54589"/>
    <w:rsid w:val="33664292"/>
    <w:rsid w:val="35BD6B5E"/>
    <w:rsid w:val="36513742"/>
    <w:rsid w:val="36A65544"/>
    <w:rsid w:val="38AA782C"/>
    <w:rsid w:val="3978715A"/>
    <w:rsid w:val="3A9C3E9C"/>
    <w:rsid w:val="3B2A1AD0"/>
    <w:rsid w:val="3B90464B"/>
    <w:rsid w:val="3BF424F4"/>
    <w:rsid w:val="3D1B4B67"/>
    <w:rsid w:val="3E0C5C5E"/>
    <w:rsid w:val="3F1C5D3C"/>
    <w:rsid w:val="3F5773E4"/>
    <w:rsid w:val="3FB64194"/>
    <w:rsid w:val="40B37FC7"/>
    <w:rsid w:val="42411525"/>
    <w:rsid w:val="42A31F8F"/>
    <w:rsid w:val="44476A17"/>
    <w:rsid w:val="46985111"/>
    <w:rsid w:val="47534423"/>
    <w:rsid w:val="493C0A65"/>
    <w:rsid w:val="499A0C8B"/>
    <w:rsid w:val="4C7C45FD"/>
    <w:rsid w:val="4CC8475D"/>
    <w:rsid w:val="4D5F42DA"/>
    <w:rsid w:val="4FEE4365"/>
    <w:rsid w:val="517B32B1"/>
    <w:rsid w:val="54664454"/>
    <w:rsid w:val="556E3D00"/>
    <w:rsid w:val="55B16747"/>
    <w:rsid w:val="56C12972"/>
    <w:rsid w:val="56C61620"/>
    <w:rsid w:val="576A136C"/>
    <w:rsid w:val="5A2C1FF8"/>
    <w:rsid w:val="5CCC4BD1"/>
    <w:rsid w:val="5DB017E9"/>
    <w:rsid w:val="5E663225"/>
    <w:rsid w:val="5E7B5877"/>
    <w:rsid w:val="5E7F05BA"/>
    <w:rsid w:val="5EA90E4D"/>
    <w:rsid w:val="5F0F5A8A"/>
    <w:rsid w:val="5F8B12E9"/>
    <w:rsid w:val="5FB77882"/>
    <w:rsid w:val="5FC62532"/>
    <w:rsid w:val="62EE1651"/>
    <w:rsid w:val="63D62EDC"/>
    <w:rsid w:val="67B52147"/>
    <w:rsid w:val="68DA1F57"/>
    <w:rsid w:val="6B8E39D4"/>
    <w:rsid w:val="6FA764C3"/>
    <w:rsid w:val="71793C2F"/>
    <w:rsid w:val="72506FBC"/>
    <w:rsid w:val="731466AD"/>
    <w:rsid w:val="73165BF6"/>
    <w:rsid w:val="744B457E"/>
    <w:rsid w:val="761027E3"/>
    <w:rsid w:val="76B113D4"/>
    <w:rsid w:val="79610363"/>
    <w:rsid w:val="7C386BE4"/>
    <w:rsid w:val="7CF04EBE"/>
    <w:rsid w:val="7D8C0A3A"/>
    <w:rsid w:val="7DCA748C"/>
    <w:rsid w:val="7DDB3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504</Words>
  <Characters>2873</Characters>
  <Lines>23</Lines>
  <Paragraphs>6</Paragraphs>
  <TotalTime>10</TotalTime>
  <ScaleCrop>false</ScaleCrop>
  <LinksUpToDate>false</LinksUpToDate>
  <CharactersWithSpaces>3371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dcjz0</cp:lastModifiedBy>
  <cp:lastPrinted>2022-02-26T06:31:00Z</cp:lastPrinted>
  <dcterms:modified xsi:type="dcterms:W3CDTF">2022-07-11T07:05:59Z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B079F524E3834A80867E3B22DE68C253</vt:lpwstr>
  </property>
</Properties>
</file>